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bookmarkStart w:id="0" w:name="OLE_LINK1"/>
    </w:p>
    <w:p>
      <w:pPr>
        <w:jc w:val="center"/>
        <w:rPr>
          <w:rFonts w:ascii="方正小标宋简体" w:hAnsi="方正小标宋简体" w:eastAsia="方正小标宋简体" w:cs="方正小标宋简体"/>
          <w:sz w:val="84"/>
          <w:szCs w:val="84"/>
        </w:rPr>
      </w:pPr>
    </w:p>
    <w:p>
      <w:pPr>
        <w:jc w:val="center"/>
        <w:rPr>
          <w:rFonts w:hint="eastAsia" w:ascii="宋体" w:hAnsi="宋体" w:cs="宋体"/>
          <w:b/>
          <w:bCs/>
          <w:color w:val="000000"/>
          <w:sz w:val="52"/>
          <w:szCs w:val="52"/>
        </w:rPr>
      </w:pPr>
      <w:bookmarkStart w:id="1" w:name="PO_title1"/>
      <w:r>
        <w:rPr>
          <w:rFonts w:hint="eastAsia" w:ascii="宋体" w:hAnsi="宋体" w:cs="宋体"/>
          <w:b/>
          <w:bCs/>
          <w:color w:val="000000"/>
          <w:sz w:val="52"/>
          <w:szCs w:val="52"/>
        </w:rPr>
        <w:t xml:space="preserve"> </w:t>
      </w:r>
      <w:r>
        <w:rPr>
          <w:rFonts w:hint="eastAsia" w:ascii="宋体" w:hAnsi="宋体" w:cs="宋体"/>
          <w:b/>
          <w:bCs/>
          <w:color w:val="000000"/>
          <w:sz w:val="52"/>
          <w:szCs w:val="52"/>
          <w:lang w:val="en-US" w:eastAsia="zh-CN"/>
        </w:rPr>
        <w:t>百色市信访局</w:t>
      </w:r>
      <w:r>
        <w:rPr>
          <w:rFonts w:hint="eastAsia" w:ascii="宋体" w:hAnsi="宋体" w:cs="宋体"/>
          <w:b/>
          <w:bCs/>
          <w:color w:val="000000"/>
          <w:sz w:val="11"/>
          <w:szCs w:val="11"/>
        </w:rPr>
        <w:t xml:space="preserve"> </w:t>
      </w:r>
      <w:bookmarkEnd w:id="1"/>
    </w:p>
    <w:p>
      <w:pPr>
        <w:jc w:val="center"/>
        <w:rPr>
          <w:rFonts w:hint="eastAsia" w:ascii="宋体" w:hAnsi="宋体" w:cs="宋体"/>
          <w:b/>
          <w:bCs/>
          <w:color w:val="000000"/>
          <w:sz w:val="52"/>
          <w:szCs w:val="52"/>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b/>
          <w:bCs/>
          <w:color w:val="000000"/>
          <w:sz w:val="52"/>
          <w:szCs w:val="52"/>
          <w:lang w:val="en-US" w:eastAsia="zh-CN"/>
        </w:rPr>
        <w:t>2025</w:t>
      </w:r>
      <w:r>
        <w:rPr>
          <w:rFonts w:hint="eastAsia" w:ascii="宋体" w:hAnsi="宋体" w:cs="宋体"/>
          <w:b/>
          <w:bCs/>
          <w:color w:val="000000"/>
          <w:sz w:val="52"/>
          <w:szCs w:val="52"/>
        </w:rPr>
        <w:t>年度部门预算</w:t>
      </w:r>
      <w:bookmarkStart w:id="89" w:name="_GoBack"/>
      <w:bookmarkEnd w:id="89"/>
    </w:p>
    <w:p>
      <w:pPr>
        <w:jc w:val="center"/>
        <w:outlineLvl w:val="0"/>
        <w:rPr>
          <w:rFonts w:ascii="黑体" w:hAnsi="黑体" w:eastAsia="黑体" w:cs="方正小标宋简体"/>
          <w:sz w:val="44"/>
          <w:szCs w:val="44"/>
        </w:rPr>
      </w:pPr>
      <w:r>
        <w:rPr>
          <w:rFonts w:hint="eastAsia" w:ascii="黑体" w:hAnsi="黑体" w:eastAsia="黑体" w:cs="方正小标宋简体"/>
          <w:sz w:val="44"/>
          <w:szCs w:val="44"/>
        </w:rPr>
        <w:t>目  录</w:t>
      </w:r>
    </w:p>
    <w:p>
      <w:pPr>
        <w:ind w:firstLine="643" w:firstLineChars="200"/>
        <w:outlineLvl w:val="9"/>
        <w:rPr>
          <w:rFonts w:ascii="黑体" w:hAnsi="黑体" w:eastAsia="黑体" w:cs="黑体"/>
          <w:b/>
          <w:sz w:val="32"/>
          <w:szCs w:val="32"/>
        </w:rPr>
      </w:pPr>
      <w:r>
        <w:rPr>
          <w:rFonts w:hint="eastAsia" w:ascii="黑体" w:hAnsi="黑体" w:eastAsia="黑体" w:cs="黑体"/>
          <w:b/>
          <w:sz w:val="32"/>
          <w:szCs w:val="32"/>
        </w:rPr>
        <w:t xml:space="preserve">第一部分  </w:t>
      </w:r>
      <w:bookmarkStart w:id="2" w:name="PO_dirDivName1"/>
      <w:r>
        <w:rPr>
          <w:rFonts w:hint="eastAsia" w:ascii="黑体" w:hAnsi="黑体" w:eastAsia="黑体" w:cs="黑体"/>
          <w:b/>
          <w:sz w:val="32"/>
          <w:szCs w:val="32"/>
          <w:lang w:val="en-US" w:eastAsia="zh-CN"/>
        </w:rPr>
        <w:t>百色市信访局</w:t>
      </w:r>
      <w:r>
        <w:rPr>
          <w:rFonts w:hint="eastAsia" w:ascii="黑体" w:hAnsi="黑体" w:eastAsia="黑体" w:cs="黑体"/>
          <w:b/>
          <w:sz w:val="11"/>
          <w:szCs w:val="11"/>
        </w:rPr>
        <w:t xml:space="preserve"> </w:t>
      </w:r>
      <w:bookmarkEnd w:id="2"/>
      <w:r>
        <w:rPr>
          <w:rFonts w:hint="eastAsia" w:ascii="黑体" w:hAnsi="黑体" w:eastAsia="黑体" w:cs="黑体"/>
          <w:b/>
          <w:sz w:val="32"/>
          <w:szCs w:val="32"/>
        </w:rPr>
        <w:t>概况</w:t>
      </w:r>
    </w:p>
    <w:p>
      <w:pPr>
        <w:numPr>
          <w:ilvl w:val="0"/>
          <w:numId w:val="0"/>
        </w:numPr>
        <w:ind w:firstLine="640" w:firstLineChars="200"/>
        <w:rPr>
          <w:rFonts w:ascii="黑体" w:hAnsi="黑体" w:eastAsia="黑体" w:cs="仿宋_GB2312"/>
          <w:sz w:val="32"/>
          <w:szCs w:val="32"/>
        </w:rPr>
      </w:pPr>
      <w:r>
        <w:rPr>
          <w:rFonts w:ascii="黑体" w:hAnsi="黑体" w:eastAsia="黑体" w:cs="仿宋_GB2312"/>
          <w:kern w:val="2"/>
          <w:sz w:val="32"/>
          <w:szCs w:val="32"/>
          <w:lang w:val="en-US" w:eastAsia="zh-CN" w:bidi="ar-SA"/>
        </w:rPr>
        <w:t>一、</w:t>
      </w:r>
      <w:r>
        <w:rPr>
          <w:rFonts w:hint="eastAsia" w:ascii="黑体" w:hAnsi="黑体" w:eastAsia="黑体" w:cs="仿宋_GB2312"/>
          <w:sz w:val="32"/>
          <w:szCs w:val="32"/>
        </w:rPr>
        <w:t>主要职责</w:t>
      </w:r>
    </w:p>
    <w:p>
      <w:pPr>
        <w:numPr>
          <w:ilvl w:val="0"/>
          <w:numId w:val="0"/>
        </w:numPr>
        <w:ind w:firstLine="640" w:firstLineChars="200"/>
        <w:rPr>
          <w:rFonts w:hint="eastAsia" w:ascii="黑体" w:hAnsi="黑体" w:eastAsia="黑体" w:cs="仿宋_GB2312"/>
          <w:sz w:val="32"/>
          <w:szCs w:val="32"/>
        </w:rPr>
      </w:pPr>
      <w:r>
        <w:rPr>
          <w:rFonts w:hint="eastAsia" w:ascii="黑体" w:hAnsi="黑体" w:eastAsia="黑体" w:cs="仿宋_GB2312"/>
          <w:kern w:val="2"/>
          <w:sz w:val="32"/>
          <w:szCs w:val="32"/>
          <w:lang w:val="en-US" w:eastAsia="zh-CN" w:bidi="ar-SA"/>
        </w:rPr>
        <w:t>二、</w:t>
      </w:r>
      <w:r>
        <w:rPr>
          <w:rFonts w:hint="eastAsia" w:ascii="黑体" w:hAnsi="黑体" w:eastAsia="黑体" w:cs="仿宋_GB2312"/>
          <w:sz w:val="32"/>
          <w:szCs w:val="32"/>
        </w:rPr>
        <w:t>部门机构设置</w:t>
      </w:r>
    </w:p>
    <w:p>
      <w:pPr>
        <w:numPr>
          <w:ilvl w:val="0"/>
          <w:numId w:val="0"/>
        </w:numPr>
        <w:ind w:firstLine="640" w:firstLineChars="0"/>
        <w:rPr>
          <w:rFonts w:hint="eastAsia" w:ascii="黑体" w:hAnsi="黑体" w:eastAsia="黑体" w:cs="仿宋_GB2312"/>
          <w:sz w:val="32"/>
          <w:szCs w:val="32"/>
        </w:rPr>
      </w:pPr>
      <w:r>
        <w:rPr>
          <w:rFonts w:hint="eastAsia" w:ascii="黑体" w:hAnsi="黑体" w:eastAsia="黑体" w:cs="仿宋_GB2312"/>
          <w:kern w:val="2"/>
          <w:sz w:val="32"/>
          <w:szCs w:val="32"/>
          <w:lang w:val="en-US" w:eastAsia="zh-CN" w:bidi="ar-SA"/>
        </w:rPr>
        <w:t>三、</w:t>
      </w:r>
      <w:r>
        <w:rPr>
          <w:rFonts w:hint="eastAsia" w:ascii="黑体" w:hAnsi="黑体" w:eastAsia="黑体" w:cs="仿宋_GB2312"/>
          <w:sz w:val="32"/>
          <w:szCs w:val="32"/>
        </w:rPr>
        <w:t>部门预算构成</w:t>
      </w:r>
    </w:p>
    <w:p>
      <w:pPr>
        <w:ind w:firstLine="643" w:firstLineChars="200"/>
        <w:outlineLvl w:val="9"/>
        <w:rPr>
          <w:rFonts w:ascii="黑体" w:hAnsi="黑体" w:eastAsia="黑体" w:cs="仿宋_GB2312"/>
          <w:sz w:val="32"/>
          <w:szCs w:val="32"/>
        </w:rPr>
      </w:pPr>
      <w:r>
        <w:rPr>
          <w:rFonts w:hint="eastAsia" w:ascii="黑体" w:hAnsi="黑体" w:eastAsia="黑体" w:cs="黑体"/>
          <w:b/>
          <w:sz w:val="32"/>
          <w:szCs w:val="32"/>
        </w:rPr>
        <w:t xml:space="preserve">第二部分  </w:t>
      </w:r>
      <w:bookmarkStart w:id="3" w:name="PO_Year1"/>
      <w:r>
        <w:rPr>
          <w:rFonts w:hint="eastAsia" w:ascii="黑体" w:hAnsi="黑体" w:eastAsia="黑体" w:cs="黑体"/>
          <w:b/>
          <w:sz w:val="32"/>
          <w:szCs w:val="32"/>
          <w:lang w:val="en-US" w:eastAsia="zh-CN"/>
        </w:rPr>
        <w:t>百色市信访局 2025</w:t>
      </w:r>
      <w:r>
        <w:rPr>
          <w:rFonts w:ascii="黑体" w:hAnsi="黑体" w:eastAsia="黑体" w:cs="黑体"/>
          <w:b/>
          <w:sz w:val="11"/>
          <w:szCs w:val="11"/>
        </w:rPr>
        <w:t xml:space="preserve"> </w:t>
      </w:r>
      <w:bookmarkEnd w:id="3"/>
      <w:r>
        <w:rPr>
          <w:rFonts w:hint="eastAsia" w:ascii="黑体" w:hAnsi="黑体" w:eastAsia="黑体" w:cs="黑体"/>
          <w:b/>
          <w:sz w:val="32"/>
          <w:szCs w:val="32"/>
        </w:rPr>
        <w:t>年部门预算表</w:t>
      </w:r>
      <w:r>
        <w:rPr>
          <w:rFonts w:hint="eastAsia" w:ascii="黑体" w:hAnsi="黑体" w:eastAsia="黑体" w:cs="仿宋_GB2312"/>
          <w:sz w:val="32"/>
          <w:szCs w:val="32"/>
        </w:rPr>
        <w:t xml:space="preserve"> </w:t>
      </w:r>
    </w:p>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第三部分  </w:t>
      </w:r>
      <w:bookmarkStart w:id="4" w:name="PO_Year2"/>
      <w:r>
        <w:rPr>
          <w:rFonts w:hint="eastAsia" w:ascii="黑体" w:hAnsi="黑体" w:eastAsia="黑体" w:cs="黑体"/>
          <w:b/>
          <w:sz w:val="32"/>
          <w:szCs w:val="32"/>
          <w:lang w:val="en-US" w:eastAsia="zh-CN"/>
        </w:rPr>
        <w:t>百色市信访局 2025</w:t>
      </w:r>
      <w:r>
        <w:rPr>
          <w:rFonts w:ascii="黑体" w:hAnsi="黑体" w:eastAsia="黑体" w:cs="黑体"/>
          <w:b/>
          <w:sz w:val="11"/>
          <w:szCs w:val="11"/>
        </w:rPr>
        <w:t xml:space="preserve"> </w:t>
      </w:r>
      <w:bookmarkEnd w:id="4"/>
      <w:r>
        <w:rPr>
          <w:rFonts w:hint="eastAsia" w:ascii="黑体" w:hAnsi="黑体" w:eastAsia="黑体" w:cs="黑体"/>
          <w:b/>
          <w:sz w:val="32"/>
          <w:szCs w:val="32"/>
        </w:rPr>
        <w:t>年部门预算情况说明</w:t>
      </w:r>
    </w:p>
    <w:p>
      <w:pPr>
        <w:ind w:firstLine="643" w:firstLineChars="200"/>
        <w:rPr>
          <w:rFonts w:hint="eastAsia" w:ascii="黑体" w:hAnsi="黑体" w:eastAsia="黑体" w:cs="黑体"/>
          <w:b/>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b/>
          <w:sz w:val="32"/>
          <w:szCs w:val="32"/>
        </w:rPr>
        <w:t>第四部分  名词解释</w:t>
      </w:r>
    </w:p>
    <w:p>
      <w:pPr>
        <w:jc w:val="center"/>
        <w:outlineLvl w:val="0"/>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 xml:space="preserve">第一部分  </w:t>
      </w:r>
      <w:bookmarkStart w:id="5" w:name="PO_part1DivName1"/>
      <w:r>
        <w:rPr>
          <w:rFonts w:hint="eastAsia" w:ascii="黑体" w:hAnsi="黑体" w:eastAsia="黑体" w:cs="方正小标宋简体"/>
          <w:sz w:val="44"/>
          <w:szCs w:val="44"/>
          <w:lang w:val="en-US" w:eastAsia="zh-CN"/>
        </w:rPr>
        <w:t>百色市信访局</w:t>
      </w:r>
      <w:r>
        <w:rPr>
          <w:rFonts w:hint="eastAsia" w:ascii="黑体" w:hAnsi="黑体" w:eastAsia="黑体" w:cs="方正小标宋简体"/>
          <w:sz w:val="11"/>
          <w:szCs w:val="11"/>
        </w:rPr>
        <w:t xml:space="preserve"> </w:t>
      </w:r>
      <w:bookmarkEnd w:id="5"/>
      <w:r>
        <w:rPr>
          <w:rFonts w:hint="eastAsia" w:ascii="黑体" w:hAnsi="黑体" w:eastAsia="黑体" w:cs="方正小标宋简体"/>
          <w:sz w:val="44"/>
          <w:szCs w:val="44"/>
        </w:rPr>
        <w:t>概况</w:t>
      </w:r>
    </w:p>
    <w:p>
      <w:pPr>
        <w:rPr>
          <w:rFonts w:ascii="黑体" w:hAnsi="黑体" w:eastAsia="黑体" w:cs="黑体"/>
          <w:sz w:val="44"/>
          <w:szCs w:val="44"/>
        </w:rPr>
      </w:pPr>
    </w:p>
    <w:p>
      <w:pPr>
        <w:ind w:firstLine="640" w:firstLineChars="200"/>
        <w:outlineLvl w:val="1"/>
        <w:rPr>
          <w:rFonts w:ascii="黑体" w:hAnsi="黑体" w:eastAsia="黑体" w:cs="黑体"/>
          <w:sz w:val="32"/>
          <w:szCs w:val="32"/>
        </w:rPr>
      </w:pPr>
      <w:r>
        <w:rPr>
          <w:rFonts w:hint="eastAsia" w:ascii="黑体" w:hAnsi="黑体" w:eastAsia="黑体" w:cs="黑体"/>
          <w:sz w:val="32"/>
          <w:szCs w:val="32"/>
        </w:rPr>
        <w:t>一、主要职责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6" w:name="PO_part1Responsibilities"/>
      <w:r>
        <w:rPr>
          <w:rFonts w:ascii="仿宋_GB2312" w:hAnsi="仿宋_GB2312" w:eastAsia="仿宋_GB2312" w:cs="仿宋_GB2312"/>
          <w:sz w:val="32"/>
          <w:szCs w:val="32"/>
        </w:rPr>
        <w:t xml:space="preserve"> </w:t>
      </w:r>
      <w:r>
        <w:rPr>
          <w:rFonts w:hint="eastAsia" w:ascii="仿宋_GB2312" w:eastAsia="仿宋_GB2312"/>
          <w:sz w:val="30"/>
          <w:szCs w:val="30"/>
        </w:rPr>
        <w:t xml:space="preserve"> </w:t>
      </w:r>
      <w:r>
        <w:rPr>
          <w:rFonts w:hint="eastAsia" w:ascii="仿宋_GB2312" w:eastAsia="仿宋_GB2312"/>
          <w:b/>
          <w:bCs/>
          <w:sz w:val="30"/>
          <w:szCs w:val="30"/>
        </w:rPr>
        <w:t>（一）主要职能</w:t>
      </w:r>
      <w:r>
        <w:rPr>
          <w:rFonts w:hint="eastAsia" w:ascii="仿宋_GB2312" w:eastAsia="仿宋_GB2312"/>
          <w:sz w:val="30"/>
          <w:szCs w:val="30"/>
        </w:rPr>
        <w:br w:type="textWrapping"/>
      </w:r>
      <w:r>
        <w:rPr>
          <w:rFonts w:hint="eastAsia" w:ascii="仿宋_GB2312" w:eastAsia="仿宋_GB2312"/>
          <w:sz w:val="30"/>
          <w:szCs w:val="30"/>
        </w:rPr>
        <w:t>1、负责处理人民群众及港澳台、境外人士、法人及其他组织通过信访渠道给市委、市人民政府及领导同志的来信来电、接待来访、网上信访投诉。</w:t>
      </w:r>
      <w:r>
        <w:rPr>
          <w:rFonts w:hint="eastAsia" w:ascii="仿宋_GB2312" w:eastAsia="仿宋_GB2312"/>
          <w:sz w:val="30"/>
          <w:szCs w:val="30"/>
        </w:rPr>
        <w:br w:type="textWrapping"/>
      </w:r>
      <w:r>
        <w:rPr>
          <w:rFonts w:hint="eastAsia" w:ascii="仿宋_GB2312" w:eastAsia="仿宋_GB2312"/>
          <w:sz w:val="30"/>
          <w:szCs w:val="30"/>
        </w:rPr>
        <w:t>2、承办市委、市人民政府及上级信访部门领导同志批示交办的信访事项；负责向各县（市、区）和市直各有关单位转办、交办、移送信访事项，督促检查信访事项办理落实情况和领导同志信访批示件落实情况。</w:t>
      </w:r>
      <w:r>
        <w:rPr>
          <w:rFonts w:hint="eastAsia" w:ascii="仿宋_GB2312" w:eastAsia="仿宋_GB2312"/>
          <w:sz w:val="30"/>
          <w:szCs w:val="30"/>
        </w:rPr>
        <w:br w:type="textWrapping"/>
      </w:r>
      <w:r>
        <w:rPr>
          <w:rFonts w:hint="eastAsia" w:ascii="仿宋_GB2312" w:eastAsia="仿宋_GB2312"/>
          <w:sz w:val="30"/>
          <w:szCs w:val="30"/>
        </w:rPr>
        <w:t>3、负责向市委、市人民政府反映群众来信来电来访中提出的重要建议、意见和问题，综合研判信访信息；组织实施信访矛盾纠纷排查化解工作；开展调查研究，提出解决问题、完善政策法规和改进工作的意见和建议。</w:t>
      </w:r>
      <w:r>
        <w:rPr>
          <w:rFonts w:hint="eastAsia" w:ascii="仿宋_GB2312" w:eastAsia="仿宋_GB2312"/>
          <w:sz w:val="30"/>
          <w:szCs w:val="30"/>
        </w:rPr>
        <w:br w:type="textWrapping"/>
      </w:r>
      <w:r>
        <w:rPr>
          <w:rFonts w:hint="eastAsia" w:ascii="仿宋_GB2312" w:eastAsia="仿宋_GB2312"/>
          <w:sz w:val="30"/>
          <w:szCs w:val="30"/>
        </w:rPr>
        <w:t>4、负责综合协调、指导全市信访工作，推动各级党委、政府关于信访工作决策部署的贯彻落实；起草有关信访工作制度；对市委拟提拔任用干部提出信访履职鉴定意见；对信访事项办理过程中存在的问题和不足，提出改进工作和信访责任追究的意见和建议。</w:t>
      </w:r>
      <w:r>
        <w:rPr>
          <w:rFonts w:hint="eastAsia" w:ascii="仿宋_GB2312" w:eastAsia="仿宋_GB2312"/>
          <w:sz w:val="30"/>
          <w:szCs w:val="30"/>
        </w:rPr>
        <w:br w:type="textWrapping"/>
      </w:r>
      <w:r>
        <w:rPr>
          <w:rFonts w:hint="eastAsia" w:ascii="仿宋_GB2312" w:eastAsia="仿宋_GB2312"/>
          <w:sz w:val="30"/>
          <w:szCs w:val="30"/>
        </w:rPr>
        <w:t>5、承担市人民政府负责的信访事项复查复核日常工作、指导复杂疑难信访事项的听证及信访终结工作。</w:t>
      </w:r>
      <w:r>
        <w:rPr>
          <w:rFonts w:hint="eastAsia" w:ascii="仿宋_GB2312" w:eastAsia="仿宋_GB2312"/>
          <w:sz w:val="30"/>
          <w:szCs w:val="30"/>
        </w:rPr>
        <w:br w:type="textWrapping"/>
      </w:r>
      <w:r>
        <w:rPr>
          <w:rFonts w:hint="eastAsia" w:ascii="仿宋_GB2312" w:eastAsia="仿宋_GB2312"/>
          <w:sz w:val="30"/>
          <w:szCs w:val="30"/>
        </w:rPr>
        <w:t>6、承担市信访工作联席会议的日常工作，督促落实联席会议决定的事项。</w:t>
      </w:r>
      <w:r>
        <w:rPr>
          <w:rFonts w:hint="eastAsia" w:ascii="仿宋_GB2312" w:eastAsia="仿宋_GB2312"/>
          <w:sz w:val="30"/>
          <w:szCs w:val="30"/>
        </w:rPr>
        <w:br w:type="textWrapping"/>
      </w:r>
      <w:r>
        <w:rPr>
          <w:rFonts w:hint="eastAsia" w:ascii="仿宋_GB2312" w:eastAsia="仿宋_GB2312"/>
          <w:sz w:val="30"/>
          <w:szCs w:val="30"/>
        </w:rPr>
        <w:t>7、组织全市信访工作的经验交流、总结推广和理论研究；负责指导全市信访信息系统建设应用、组织信访工作干部的教育培训；负责全市信访工作的宣传及信息发布工作。</w:t>
      </w:r>
      <w:r>
        <w:rPr>
          <w:rFonts w:hint="eastAsia" w:ascii="仿宋_GB2312" w:eastAsia="仿宋_GB2312"/>
          <w:sz w:val="30"/>
          <w:szCs w:val="30"/>
        </w:rPr>
        <w:br w:type="textWrapping"/>
      </w:r>
      <w:r>
        <w:rPr>
          <w:rFonts w:hint="eastAsia" w:ascii="仿宋_GB2312" w:eastAsia="仿宋_GB2312"/>
          <w:sz w:val="30"/>
          <w:szCs w:val="30"/>
        </w:rPr>
        <w:t>8、完成市委、市人民政府交办的其他事项</w:t>
      </w:r>
      <w:r>
        <w:rPr>
          <w:rFonts w:hint="eastAsia" w:ascii="仿宋_GB2312" w:eastAsia="仿宋_GB2312"/>
          <w:sz w:val="30"/>
          <w:szCs w:val="30"/>
          <w:lang w:eastAsia="zh-CN"/>
        </w:rPr>
        <w:t>。</w:t>
      </w:r>
      <w:r>
        <w:rPr>
          <w:rFonts w:hint="eastAsia" w:ascii="仿宋_GB2312" w:eastAsia="仿宋_GB2312"/>
          <w:sz w:val="30"/>
          <w:szCs w:val="30"/>
          <w:lang w:val="en-US" w:eastAsia="zh-CN"/>
        </w:rPr>
        <w:t xml:space="preserve"> </w:t>
      </w:r>
      <w:bookmarkEnd w:id="6"/>
    </w:p>
    <w:p>
      <w:pPr>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二、部门机构设置</w:t>
      </w:r>
    </w:p>
    <w:p>
      <w:pPr>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Start w:id="7" w:name="PO_part2Organization"/>
      <w:r>
        <w:rPr>
          <w:rFonts w:hint="eastAsia" w:ascii="仿宋_GB2312" w:hAnsi="仿宋_GB2312" w:eastAsia="仿宋_GB2312" w:cs="仿宋_GB2312"/>
          <w:sz w:val="30"/>
          <w:szCs w:val="30"/>
        </w:rPr>
        <w:t xml:space="preserve">  百色市信访局内设五个科室和一个二层事业单位，分别为办公室、办信科、接访科、复查复核科、督查指导科及百色市群众工作服务中心。纳入部门预算汇编范围的独立核算单位有2个，分别是：</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百色市信访局本级，属行政单位；</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百色市群众工作服务中心，属公益一类事业单位</w:t>
      </w:r>
      <w:r>
        <w:rPr>
          <w:rFonts w:hint="eastAsia" w:ascii="仿宋_GB2312" w:hAnsi="仿宋_GB2312" w:eastAsia="仿宋_GB2312" w:cs="仿宋_GB2312"/>
          <w:sz w:val="30"/>
          <w:szCs w:val="30"/>
          <w:lang w:eastAsia="zh-CN"/>
        </w:rPr>
        <w:t>。</w:t>
      </w:r>
      <w:bookmarkEnd w:id="7"/>
    </w:p>
    <w:p>
      <w:pPr>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三、部门预算构成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8" w:name="PO_part1Organization"/>
      <w:r>
        <w:rPr>
          <w:rFonts w:ascii="仿宋_GB2312" w:hAnsi="仿宋_GB2312" w:eastAsia="仿宋_GB2312" w:cs="仿宋_GB2312"/>
          <w:sz w:val="32"/>
          <w:szCs w:val="32"/>
        </w:rPr>
        <w:t xml:space="preserve"> </w:t>
      </w:r>
      <w:r>
        <w:rPr>
          <w:rFonts w:hint="eastAsia" w:ascii="仿宋_GB2312" w:hAnsi="仿宋_GB2312" w:eastAsia="仿宋_GB2312" w:cs="仿宋_GB2312"/>
          <w:sz w:val="30"/>
          <w:szCs w:val="30"/>
        </w:rPr>
        <w:t xml:space="preserve"> 本部门预算为汇总预算，包括百色市信访局本级预算，以及纳入编制范围的下属单位百色市群众工作服务中心预算</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2"/>
          <w:szCs w:val="32"/>
        </w:rPr>
        <w:t xml:space="preserve"> </w:t>
      </w:r>
      <w:bookmarkEnd w:id="8"/>
      <w:r>
        <w:rPr>
          <w:rFonts w:hint="eastAsia" w:ascii="仿宋_GB2312" w:hAnsi="仿宋_GB2312" w:eastAsia="仿宋_GB2312" w:cs="仿宋_GB2312"/>
          <w:sz w:val="32"/>
          <w:szCs w:val="32"/>
        </w:rPr>
        <w:t xml:space="preserve"> </w:t>
      </w:r>
    </w:p>
    <w:p>
      <w:pPr>
        <w:jc w:val="center"/>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p>
    <w:p>
      <w:pPr>
        <w:tabs>
          <w:tab w:val="center" w:pos="6979"/>
        </w:tabs>
        <w:jc w:val="center"/>
        <w:outlineLvl w:val="0"/>
        <w:rPr>
          <w:rFonts w:hint="eastAsia" w:ascii="方正小标宋简体" w:hAnsi="方正小标宋简体" w:eastAsia="方正小标宋简体" w:cs="方正小标宋简体"/>
          <w:sz w:val="44"/>
          <w:szCs w:val="44"/>
        </w:rPr>
      </w:pPr>
      <w:r>
        <w:rPr>
          <w:rFonts w:hint="eastAsia" w:ascii="黑体" w:hAnsi="黑体" w:eastAsia="黑体" w:cs="方正小标宋简体"/>
          <w:sz w:val="44"/>
          <w:szCs w:val="44"/>
        </w:rPr>
        <w:t xml:space="preserve">第二部分  </w:t>
      </w:r>
      <w:bookmarkStart w:id="9" w:name="PO_part2Year1"/>
      <w:r>
        <w:rPr>
          <w:rFonts w:hint="eastAsia" w:ascii="黑体" w:hAnsi="黑体" w:eastAsia="黑体" w:cs="方正小标宋简体"/>
          <w:sz w:val="44"/>
          <w:szCs w:val="44"/>
          <w:lang w:val="en-US" w:eastAsia="zh-CN"/>
        </w:rPr>
        <w:t>百色市信访局 2025</w:t>
      </w:r>
      <w:r>
        <w:rPr>
          <w:rFonts w:ascii="方正小标宋简体" w:hAnsi="方正小标宋简体" w:eastAsia="方正小标宋简体" w:cs="方正小标宋简体"/>
          <w:sz w:val="11"/>
          <w:szCs w:val="11"/>
        </w:rPr>
        <w:t xml:space="preserve"> </w:t>
      </w:r>
      <w:bookmarkEnd w:id="9"/>
      <w:r>
        <w:rPr>
          <w:rFonts w:hint="eastAsia" w:ascii="黑体" w:hAnsi="黑体" w:eastAsia="黑体" w:cs="方正小标宋简体"/>
          <w:sz w:val="44"/>
          <w:szCs w:val="44"/>
        </w:rPr>
        <w:t>年部门预算表</w:t>
      </w:r>
    </w:p>
    <w:p>
      <w:pPr>
        <w:jc w:val="left"/>
        <w:rPr>
          <w:rFonts w:hint="eastAsia"/>
        </w:rPr>
      </w:pPr>
      <w:bookmarkStart w:id="10" w:name="PO_part2Table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lang w:val="en-US" w:eastAsia="zh-CN"/>
              </w:rPr>
              <w:t>预算公开01表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0" w:type="dxa"/>
            <w:gridSpan w:val="3"/>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11" w:name="PO_part2Table1DivName1"/>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百色市信访局</w:t>
            </w:r>
            <w:r>
              <w:rPr>
                <w:rFonts w:hint="eastAsia" w:ascii="宋体" w:hAnsi="宋体"/>
                <w:color w:val="000000"/>
                <w:kern w:val="0"/>
                <w:sz w:val="18"/>
                <w:szCs w:val="18"/>
              </w:rPr>
              <w:t xml:space="preserve"> </w:t>
            </w:r>
            <w:bookmarkEnd w:id="11"/>
          </w:p>
        </w:tc>
        <w:tc>
          <w:tcPr>
            <w:tcW w:w="3544"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2"/>
            <w:tcBorders>
              <w:top w:val="single" w:color="auto" w:sz="4" w:space="0"/>
            </w:tcBorders>
            <w:noWrap w:val="0"/>
            <w:vAlign w:val="center"/>
          </w:tcPr>
          <w:p>
            <w:pPr>
              <w:jc w:val="center"/>
              <w:rPr>
                <w:rFonts w:hint="eastAsia" w:ascii="宋体" w:hAnsi="宋体" w:cs="宋体"/>
                <w:sz w:val="18"/>
                <w:szCs w:val="18"/>
              </w:rPr>
            </w:pPr>
            <w:r>
              <w:rPr>
                <w:rFonts w:hint="eastAsia" w:ascii="宋体" w:hAnsi="宋体" w:cs="宋体"/>
                <w:color w:val="000000"/>
                <w:kern w:val="0"/>
                <w:sz w:val="18"/>
                <w:szCs w:val="18"/>
              </w:rPr>
              <w:t>收        入</w:t>
            </w:r>
          </w:p>
        </w:tc>
        <w:tc>
          <w:tcPr>
            <w:tcW w:w="7088" w:type="dxa"/>
            <w:gridSpan w:val="2"/>
            <w:tcBorders>
              <w:top w:val="single" w:color="auto" w:sz="4" w:space="0"/>
            </w:tcBorders>
            <w:noWrap w:val="0"/>
            <w:vAlign w:val="center"/>
          </w:tcPr>
          <w:p>
            <w:pPr>
              <w:jc w:val="center"/>
              <w:rPr>
                <w:rFonts w:hint="eastAsia" w:ascii="宋体" w:hAnsi="宋体" w:cs="宋体"/>
                <w:sz w:val="18"/>
                <w:szCs w:val="18"/>
              </w:rPr>
            </w:pPr>
            <w:r>
              <w:rPr>
                <w:rFonts w:hint="eastAsia" w:ascii="宋体" w:hAnsi="宋体" w:cs="宋体"/>
                <w:color w:val="000000"/>
                <w:kern w:val="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3" w:type="dxa"/>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项    目</w:t>
            </w:r>
          </w:p>
        </w:tc>
        <w:tc>
          <w:tcPr>
            <w:tcW w:w="3543" w:type="dxa"/>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预算数</w:t>
            </w:r>
          </w:p>
        </w:tc>
        <w:tc>
          <w:tcPr>
            <w:tcW w:w="3544" w:type="dxa"/>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项    目（按支出功能科目分类）</w:t>
            </w:r>
          </w:p>
        </w:tc>
        <w:tc>
          <w:tcPr>
            <w:tcW w:w="3544" w:type="dxa"/>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一、一般公共预算拨款</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536.93</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一、一般公共服务支出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427.88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（一）上级补助</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二、外交支出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（二）本级</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536.93</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三、国防支出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（三）一般债券收入</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四、公共安全支出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二、政府性基金预算</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五、教育支出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（一）上级补助</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六、科学技术支出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（二）本级</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七、文化旅游体育与传媒支出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（三）专项债券收入</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八、社会保障和就业支出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62.84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三、国有资本经营预算</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九、卫生健康支出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16.28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（一）上级补助</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十、节能环保支出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（二）本级</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十一、城乡社区支出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四、财政专户管理资金</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十二、农林水支出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五、单位资金</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十三、交通运输支出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（一）事业收入</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十四、资源勘探工业信息等支出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（二）事业单位经营收入</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十五、商业服务业等支出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（三）上级补助收入</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十六、金融支出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（四）附属单位上缴收入</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十七、援助其他地区支出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（五）其他收入</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十八、自然资源海洋气象等支出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十九、住房保障支出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29.93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二十、粮油物资储备支出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二十一、国有资本经营预算支出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二十二、灾害防治及应急管理支出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二十三、其他支出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二十四、债务还本支出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二十五、债务付息支出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二十六、债务发行费用支出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本 年 收 入 合 计</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536.93</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本 年 支 出 合 计</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536.93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上年结转结余</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结转下年支出</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收  入  总  计</w:t>
            </w:r>
          </w:p>
        </w:tc>
        <w:tc>
          <w:tcPr>
            <w:tcW w:w="3543"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536.93</w:t>
            </w:r>
          </w:p>
        </w:tc>
        <w:tc>
          <w:tcPr>
            <w:tcW w:w="3544" w:type="dxa"/>
            <w:noWrap w:val="0"/>
            <w:vAlign w:val="cente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支  出  总  计</w:t>
            </w:r>
          </w:p>
        </w:tc>
        <w:tc>
          <w:tcPr>
            <w:tcW w:w="3544" w:type="dxa"/>
            <w:noWrap w:val="0"/>
            <w:vAlign w:val="center"/>
          </w:tcPr>
          <w:p>
            <w:pPr>
              <w:jc w:val="right"/>
              <w:rPr>
                <w:rFonts w:hint="eastAsia" w:ascii="宋体" w:hAnsi="宋体" w:cs="宋体"/>
                <w:color w:val="000000"/>
                <w:sz w:val="18"/>
                <w:szCs w:val="18"/>
              </w:rPr>
            </w:pPr>
            <w:r>
              <w:rPr>
                <w:rFonts w:hint="eastAsia" w:ascii="宋体" w:hAnsi="宋体" w:cs="宋体"/>
                <w:color w:val="000000"/>
                <w:sz w:val="18"/>
                <w:szCs w:val="18"/>
              </w:rPr>
              <w:t>536.93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center"/>
              <w:textAlignment w:val="center"/>
              <w:rPr>
                <w:rFonts w:hint="eastAsia" w:ascii="宋体" w:hAnsi="宋体" w:cs="宋体"/>
                <w:color w:val="000000"/>
                <w:sz w:val="18"/>
                <w:szCs w:val="18"/>
              </w:rPr>
            </w:pPr>
          </w:p>
        </w:tc>
        <w:tc>
          <w:tcPr>
            <w:tcW w:w="3543" w:type="dxa"/>
            <w:noWrap w:val="0"/>
            <w:vAlign w:val="center"/>
          </w:tcPr>
          <w:p>
            <w:pPr>
              <w:jc w:val="right"/>
              <w:rPr>
                <w:rFonts w:hint="eastAsia" w:ascii="宋体" w:hAnsi="宋体" w:cs="宋体"/>
                <w:color w:val="000000"/>
                <w:sz w:val="18"/>
                <w:szCs w:val="18"/>
              </w:rPr>
            </w:pPr>
          </w:p>
        </w:tc>
        <w:tc>
          <w:tcPr>
            <w:tcW w:w="3544" w:type="dxa"/>
            <w:noWrap w:val="0"/>
            <w:vAlign w:val="center"/>
          </w:tcPr>
          <w:p>
            <w:pPr>
              <w:widowControl/>
              <w:jc w:val="center"/>
              <w:textAlignment w:val="center"/>
              <w:rPr>
                <w:rFonts w:hint="eastAsia" w:ascii="宋体" w:hAnsi="宋体" w:cs="宋体"/>
                <w:color w:val="000000"/>
                <w:sz w:val="18"/>
                <w:szCs w:val="18"/>
              </w:rPr>
            </w:pPr>
          </w:p>
        </w:tc>
        <w:tc>
          <w:tcPr>
            <w:tcW w:w="3544" w:type="dxa"/>
            <w:noWrap w:val="0"/>
            <w:vAlign w:val="center"/>
          </w:tcPr>
          <w:p>
            <w:pPr>
              <w:jc w:val="right"/>
              <w:rPr>
                <w:rFonts w:hint="eastAsia" w:ascii="宋体" w:hAnsi="宋体" w:cs="宋体"/>
                <w:color w:val="000000"/>
                <w:sz w:val="18"/>
                <w:szCs w:val="18"/>
              </w:rPr>
            </w:pPr>
          </w:p>
        </w:tc>
      </w:tr>
      <w:bookmarkEnd w:id="10"/>
    </w:tbl>
    <w:p>
      <w:pPr>
        <w:rPr>
          <w:rFonts w:hint="eastAsia" w:ascii="宋体" w:hAnsi="宋体" w:cs="宋体"/>
          <w:color w:val="000000"/>
          <w:sz w:val="18"/>
          <w:szCs w:val="18"/>
        </w:rPr>
      </w:pPr>
      <w:r>
        <w:rPr>
          <w:rFonts w:hint="eastAsia" w:ascii="宋体" w:hAnsi="宋体" w:cs="宋体"/>
          <w:color w:val="000000"/>
          <w:kern w:val="0"/>
          <w:sz w:val="18"/>
          <w:szCs w:val="18"/>
          <w:lang w:bidi="ar"/>
        </w:rPr>
        <w:t>注：</w:t>
      </w:r>
      <w:bookmarkStart w:id="12" w:name="PO_part2Table1Remark1"/>
      <w:r>
        <w:rPr>
          <w:rFonts w:hint="eastAsia" w:ascii="宋体" w:hAnsi="宋体" w:cs="宋体"/>
          <w:color w:val="000000"/>
          <w:kern w:val="0"/>
          <w:sz w:val="18"/>
          <w:szCs w:val="18"/>
          <w:lang w:bidi="ar"/>
        </w:rPr>
        <w:t xml:space="preserve"> 报表金额单位转换时可能存在四舍五入尾数误差。  </w:t>
      </w:r>
      <w:bookmarkEnd w:id="12"/>
    </w:p>
    <w:p>
      <w:pPr>
        <w:sectPr>
          <w:pgSz w:w="16838" w:h="11906" w:orient="landscape"/>
          <w:pgMar w:top="1800" w:right="1440" w:bottom="1800" w:left="1440" w:header="851" w:footer="992" w:gutter="0"/>
          <w:cols w:space="720" w:num="1"/>
          <w:docGrid w:type="lines" w:linePitch="312" w:charSpace="0"/>
        </w:sectPr>
      </w:pPr>
    </w:p>
    <w:p>
      <w:pPr>
        <w:rPr>
          <w:rFonts w:hint="eastAsia"/>
        </w:rPr>
      </w:pPr>
      <w:bookmarkStart w:id="13" w:name="PO_part2Table2"/>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171"/>
        <w:gridCol w:w="1138"/>
        <w:gridCol w:w="969"/>
        <w:gridCol w:w="965"/>
        <w:gridCol w:w="1009"/>
        <w:gridCol w:w="965"/>
        <w:gridCol w:w="940"/>
        <w:gridCol w:w="674"/>
        <w:gridCol w:w="297"/>
        <w:gridCol w:w="1008"/>
        <w:gridCol w:w="969"/>
        <w:gridCol w:w="967"/>
        <w:gridCol w:w="1057"/>
        <w:gridCol w:w="985"/>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6"/>
            <w:tcBorders>
              <w:top w:val="nil"/>
              <w:left w:val="nil"/>
              <w:bottom w:val="nil"/>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预算公开02</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6"/>
            <w:tcBorders>
              <w:top w:val="nil"/>
              <w:left w:val="nil"/>
              <w:bottom w:val="nil"/>
              <w:right w:val="nil"/>
            </w:tcBorders>
            <w:noWrap w:val="0"/>
            <w:vAlign w:val="center"/>
          </w:tcPr>
          <w:p>
            <w:pPr>
              <w:jc w:val="center"/>
              <w:rPr>
                <w:rFonts w:hint="eastAsia" w:ascii="宋体" w:hAnsi="宋体"/>
                <w:b/>
                <w:bCs/>
                <w:color w:val="000000"/>
                <w:kern w:val="0"/>
                <w:sz w:val="24"/>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收入总体情况表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001" w:type="dxa"/>
            <w:gridSpan w:val="9"/>
            <w:tcBorders>
              <w:top w:val="nil"/>
              <w:left w:val="nil"/>
              <w:bottom w:val="single" w:color="auto" w:sz="4" w:space="0"/>
              <w:right w:val="nil"/>
            </w:tcBorders>
            <w:noWrap w:val="0"/>
            <w:vAlign w:val="center"/>
          </w:tcPr>
          <w:p>
            <w:pPr>
              <w:jc w:val="left"/>
              <w:rPr>
                <w:rFonts w:hint="eastAsia" w:ascii="宋体" w:hAnsi="宋体"/>
                <w:color w:val="000000"/>
                <w:kern w:val="0"/>
                <w:sz w:val="18"/>
                <w:szCs w:val="18"/>
              </w:rPr>
            </w:pPr>
            <w:r>
              <w:rPr>
                <w:rFonts w:hint="eastAsia" w:ascii="宋体" w:hAnsi="宋体"/>
                <w:color w:val="000000"/>
                <w:kern w:val="0"/>
                <w:sz w:val="18"/>
                <w:szCs w:val="18"/>
              </w:rPr>
              <w:t>单位名称：</w:t>
            </w:r>
            <w:bookmarkStart w:id="14" w:name="PO_part2Table1DivName2"/>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百色市信访局</w:t>
            </w:r>
            <w:r>
              <w:rPr>
                <w:rFonts w:hint="eastAsia" w:ascii="宋体" w:hAnsi="宋体"/>
                <w:color w:val="000000"/>
                <w:kern w:val="0"/>
                <w:sz w:val="18"/>
                <w:szCs w:val="18"/>
              </w:rPr>
              <w:t xml:space="preserve"> </w:t>
            </w:r>
            <w:bookmarkEnd w:id="14"/>
          </w:p>
        </w:tc>
        <w:tc>
          <w:tcPr>
            <w:tcW w:w="6306" w:type="dxa"/>
            <w:gridSpan w:val="7"/>
            <w:tcBorders>
              <w:top w:val="nil"/>
              <w:left w:val="nil"/>
              <w:bottom w:val="single" w:color="auto" w:sz="4" w:space="0"/>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restart"/>
            <w:tcBorders>
              <w:top w:val="single" w:color="auto"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olor w:val="000000"/>
                <w:sz w:val="18"/>
                <w:szCs w:val="18"/>
              </w:rPr>
              <w:t>部门（单位）</w:t>
            </w:r>
            <w:r>
              <w:rPr>
                <w:rFonts w:hint="eastAsia" w:ascii="宋体" w:hAnsi="宋体" w:cs="宋体"/>
                <w:color w:val="000000"/>
                <w:kern w:val="0"/>
                <w:sz w:val="18"/>
                <w:szCs w:val="18"/>
                <w:lang w:bidi="ar"/>
              </w:rPr>
              <w:t>代码</w:t>
            </w:r>
          </w:p>
        </w:tc>
        <w:tc>
          <w:tcPr>
            <w:tcW w:w="1171" w:type="dxa"/>
            <w:vMerge w:val="restart"/>
            <w:tcBorders>
              <w:top w:val="single" w:color="auto" w:sz="4"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olor w:val="000000"/>
                <w:sz w:val="18"/>
                <w:szCs w:val="18"/>
              </w:rPr>
              <w:t>部门（单位）</w:t>
            </w:r>
            <w:r>
              <w:rPr>
                <w:rFonts w:hint="eastAsia" w:ascii="宋体" w:hAnsi="宋体" w:cs="宋体"/>
                <w:color w:val="000000"/>
                <w:kern w:val="0"/>
                <w:sz w:val="18"/>
                <w:szCs w:val="18"/>
                <w:lang w:bidi="ar"/>
              </w:rPr>
              <w:t>名称</w:t>
            </w:r>
          </w:p>
        </w:tc>
        <w:tc>
          <w:tcPr>
            <w:tcW w:w="1138" w:type="dxa"/>
            <w:vMerge w:val="restart"/>
            <w:tcBorders>
              <w:top w:val="single" w:color="auto" w:sz="4" w:space="0"/>
            </w:tcBorders>
            <w:noWrap w:val="0"/>
            <w:vAlign w:val="center"/>
          </w:tcPr>
          <w:p>
            <w:pPr>
              <w:jc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5819" w:type="dxa"/>
            <w:gridSpan w:val="7"/>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本年收入</w:t>
            </w:r>
          </w:p>
        </w:tc>
        <w:tc>
          <w:tcPr>
            <w:tcW w:w="6009" w:type="dxa"/>
            <w:gridSpan w:val="6"/>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continue"/>
            <w:noWrap w:val="0"/>
            <w:vAlign w:val="center"/>
          </w:tcPr>
          <w:p>
            <w:pPr>
              <w:widowControl/>
              <w:jc w:val="center"/>
              <w:textAlignment w:val="center"/>
              <w:rPr>
                <w:rFonts w:hint="eastAsia" w:ascii="宋体" w:hAnsi="宋体" w:cs="宋体"/>
                <w:color w:val="000000"/>
                <w:kern w:val="0"/>
                <w:sz w:val="18"/>
                <w:szCs w:val="18"/>
                <w:lang w:bidi="ar"/>
              </w:rPr>
            </w:pPr>
          </w:p>
        </w:tc>
        <w:tc>
          <w:tcPr>
            <w:tcW w:w="1171" w:type="dxa"/>
            <w:vMerge w:val="continue"/>
            <w:noWrap w:val="0"/>
            <w:vAlign w:val="center"/>
          </w:tcPr>
          <w:p>
            <w:pPr>
              <w:widowControl/>
              <w:jc w:val="center"/>
              <w:textAlignment w:val="center"/>
              <w:rPr>
                <w:rFonts w:hint="eastAsia" w:ascii="宋体" w:hAnsi="宋体" w:cs="宋体"/>
                <w:color w:val="000000"/>
                <w:kern w:val="0"/>
                <w:sz w:val="18"/>
                <w:szCs w:val="18"/>
                <w:lang w:bidi="ar"/>
              </w:rPr>
            </w:pPr>
          </w:p>
        </w:tc>
        <w:tc>
          <w:tcPr>
            <w:tcW w:w="1138" w:type="dxa"/>
            <w:vMerge w:val="continue"/>
            <w:noWrap w:val="0"/>
            <w:vAlign w:val="center"/>
          </w:tcPr>
          <w:p>
            <w:pPr>
              <w:jc w:val="center"/>
              <w:rPr>
                <w:rFonts w:hint="eastAsia" w:ascii="宋体" w:hAnsi="宋体"/>
                <w:color w:val="000000"/>
                <w:kern w:val="0"/>
                <w:sz w:val="18"/>
                <w:szCs w:val="18"/>
              </w:rPr>
            </w:pPr>
          </w:p>
        </w:tc>
        <w:tc>
          <w:tcPr>
            <w:tcW w:w="969"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小计</w:t>
            </w:r>
          </w:p>
        </w:tc>
        <w:tc>
          <w:tcPr>
            <w:tcW w:w="965"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一般公共预算</w:t>
            </w:r>
          </w:p>
        </w:tc>
        <w:tc>
          <w:tcPr>
            <w:tcW w:w="1009"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政府性基金预算</w:t>
            </w:r>
          </w:p>
        </w:tc>
        <w:tc>
          <w:tcPr>
            <w:tcW w:w="965"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国有资本经营预算</w:t>
            </w:r>
          </w:p>
        </w:tc>
        <w:tc>
          <w:tcPr>
            <w:tcW w:w="940"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财政专户管理资金收入</w:t>
            </w:r>
          </w:p>
        </w:tc>
        <w:tc>
          <w:tcPr>
            <w:tcW w:w="971" w:type="dxa"/>
            <w:gridSpan w:val="2"/>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单位资金</w:t>
            </w:r>
          </w:p>
        </w:tc>
        <w:tc>
          <w:tcPr>
            <w:tcW w:w="1008"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小计</w:t>
            </w:r>
          </w:p>
        </w:tc>
        <w:tc>
          <w:tcPr>
            <w:tcW w:w="969"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一般公共预算</w:t>
            </w:r>
          </w:p>
        </w:tc>
        <w:tc>
          <w:tcPr>
            <w:tcW w:w="967"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政府性基金预算</w:t>
            </w:r>
          </w:p>
        </w:tc>
        <w:tc>
          <w:tcPr>
            <w:tcW w:w="1057"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国有资本经营预算</w:t>
            </w:r>
          </w:p>
        </w:tc>
        <w:tc>
          <w:tcPr>
            <w:tcW w:w="985"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财政专户管理资金收入</w:t>
            </w:r>
          </w:p>
        </w:tc>
        <w:tc>
          <w:tcPr>
            <w:tcW w:w="1023"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continue"/>
            <w:noWrap w:val="0"/>
            <w:vAlign w:val="center"/>
          </w:tcPr>
          <w:p>
            <w:pPr>
              <w:jc w:val="center"/>
              <w:rPr>
                <w:rFonts w:hint="eastAsia" w:ascii="宋体" w:hAnsi="宋体"/>
                <w:color w:val="000000"/>
                <w:kern w:val="0"/>
                <w:sz w:val="18"/>
                <w:szCs w:val="18"/>
              </w:rPr>
            </w:pPr>
          </w:p>
        </w:tc>
        <w:tc>
          <w:tcPr>
            <w:tcW w:w="1171" w:type="dxa"/>
            <w:vMerge w:val="continue"/>
            <w:noWrap w:val="0"/>
            <w:vAlign w:val="center"/>
          </w:tcPr>
          <w:p>
            <w:pPr>
              <w:jc w:val="center"/>
              <w:rPr>
                <w:rFonts w:hint="eastAsia" w:ascii="宋体" w:hAnsi="宋体"/>
                <w:color w:val="000000"/>
                <w:kern w:val="0"/>
                <w:sz w:val="18"/>
                <w:szCs w:val="18"/>
              </w:rPr>
            </w:pPr>
          </w:p>
        </w:tc>
        <w:tc>
          <w:tcPr>
            <w:tcW w:w="1138" w:type="dxa"/>
            <w:noWrap w:val="0"/>
            <w:vAlign w:val="center"/>
          </w:tcPr>
          <w:p>
            <w:pPr>
              <w:jc w:val="center"/>
              <w:rPr>
                <w:rFonts w:hint="eastAsia" w:ascii="宋体" w:hAnsi="宋体"/>
                <w:color w:val="000000"/>
                <w:kern w:val="0"/>
                <w:sz w:val="18"/>
                <w:szCs w:val="18"/>
              </w:rPr>
            </w:pPr>
            <w:r>
              <w:rPr>
                <w:rFonts w:hint="eastAsia" w:ascii="宋体" w:hAnsi="宋体"/>
                <w:color w:val="000000"/>
                <w:kern w:val="0"/>
                <w:sz w:val="18"/>
                <w:szCs w:val="18"/>
              </w:rPr>
              <w:t>1</w:t>
            </w:r>
          </w:p>
        </w:tc>
        <w:tc>
          <w:tcPr>
            <w:tcW w:w="969"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965"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w:t>
            </w:r>
          </w:p>
        </w:tc>
        <w:tc>
          <w:tcPr>
            <w:tcW w:w="1009"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965"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w:t>
            </w:r>
          </w:p>
        </w:tc>
        <w:tc>
          <w:tcPr>
            <w:tcW w:w="940"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w:t>
            </w:r>
          </w:p>
        </w:tc>
        <w:tc>
          <w:tcPr>
            <w:tcW w:w="971" w:type="dxa"/>
            <w:gridSpan w:val="2"/>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7</w:t>
            </w:r>
          </w:p>
        </w:tc>
        <w:tc>
          <w:tcPr>
            <w:tcW w:w="1008"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8</w:t>
            </w:r>
          </w:p>
        </w:tc>
        <w:tc>
          <w:tcPr>
            <w:tcW w:w="969"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9</w:t>
            </w:r>
          </w:p>
        </w:tc>
        <w:tc>
          <w:tcPr>
            <w:tcW w:w="967"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10</w:t>
            </w:r>
          </w:p>
        </w:tc>
        <w:tc>
          <w:tcPr>
            <w:tcW w:w="1057"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11</w:t>
            </w:r>
          </w:p>
        </w:tc>
        <w:tc>
          <w:tcPr>
            <w:tcW w:w="985"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12</w:t>
            </w:r>
          </w:p>
        </w:tc>
        <w:tc>
          <w:tcPr>
            <w:tcW w:w="1023" w:type="dxa"/>
            <w:noWrap w:val="0"/>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pPr>
              <w:widowControl/>
              <w:textAlignment w:val="center"/>
              <w:rPr>
                <w:rFonts w:hint="eastAsia"/>
                <w:sz w:val="18"/>
                <w:szCs w:val="18"/>
              </w:rPr>
            </w:pPr>
          </w:p>
        </w:tc>
        <w:tc>
          <w:tcPr>
            <w:tcW w:w="1171"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1138"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536.93</w:t>
            </w:r>
          </w:p>
        </w:tc>
        <w:tc>
          <w:tcPr>
            <w:tcW w:w="969"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536.93</w:t>
            </w:r>
          </w:p>
        </w:tc>
        <w:tc>
          <w:tcPr>
            <w:tcW w:w="965"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536.93</w:t>
            </w:r>
          </w:p>
        </w:tc>
        <w:tc>
          <w:tcPr>
            <w:tcW w:w="1009" w:type="dxa"/>
            <w:noWrap w:val="0"/>
            <w:vAlign w:val="center"/>
          </w:tcPr>
          <w:p>
            <w:pPr>
              <w:widowControl/>
              <w:jc w:val="right"/>
              <w:textAlignment w:val="center"/>
              <w:rPr>
                <w:rFonts w:hint="eastAsia" w:ascii="宋体" w:hAnsi="宋体"/>
                <w:color w:val="000000"/>
                <w:sz w:val="18"/>
                <w:szCs w:val="18"/>
              </w:rPr>
            </w:pPr>
          </w:p>
        </w:tc>
        <w:tc>
          <w:tcPr>
            <w:tcW w:w="965" w:type="dxa"/>
            <w:noWrap w:val="0"/>
            <w:vAlign w:val="center"/>
          </w:tcPr>
          <w:p>
            <w:pPr>
              <w:widowControl/>
              <w:jc w:val="right"/>
              <w:textAlignment w:val="center"/>
              <w:rPr>
                <w:rFonts w:hint="eastAsia" w:ascii="宋体" w:hAnsi="宋体"/>
                <w:color w:val="000000"/>
                <w:sz w:val="18"/>
                <w:szCs w:val="18"/>
              </w:rPr>
            </w:pPr>
          </w:p>
        </w:tc>
        <w:tc>
          <w:tcPr>
            <w:tcW w:w="940" w:type="dxa"/>
            <w:noWrap w:val="0"/>
            <w:vAlign w:val="center"/>
          </w:tcPr>
          <w:p>
            <w:pPr>
              <w:widowControl/>
              <w:jc w:val="right"/>
              <w:textAlignment w:val="center"/>
              <w:rPr>
                <w:rFonts w:hint="eastAsia" w:ascii="宋体" w:hAnsi="宋体"/>
                <w:color w:val="000000"/>
                <w:sz w:val="18"/>
                <w:szCs w:val="18"/>
              </w:rPr>
            </w:pPr>
          </w:p>
        </w:tc>
        <w:tc>
          <w:tcPr>
            <w:tcW w:w="971" w:type="dxa"/>
            <w:gridSpan w:val="2"/>
            <w:noWrap w:val="0"/>
            <w:vAlign w:val="center"/>
          </w:tcPr>
          <w:p>
            <w:pPr>
              <w:jc w:val="right"/>
              <w:rPr>
                <w:rFonts w:hint="eastAsia" w:ascii="宋体" w:hAnsi="宋体"/>
                <w:color w:val="000000"/>
                <w:sz w:val="18"/>
                <w:szCs w:val="18"/>
              </w:rPr>
            </w:pPr>
          </w:p>
        </w:tc>
        <w:tc>
          <w:tcPr>
            <w:tcW w:w="1008" w:type="dxa"/>
            <w:noWrap w:val="0"/>
            <w:vAlign w:val="center"/>
          </w:tcPr>
          <w:p>
            <w:pPr>
              <w:jc w:val="right"/>
              <w:rPr>
                <w:rFonts w:hint="eastAsia" w:ascii="宋体" w:hAnsi="宋体"/>
                <w:color w:val="000000"/>
                <w:sz w:val="18"/>
                <w:szCs w:val="18"/>
              </w:rPr>
            </w:pPr>
          </w:p>
        </w:tc>
        <w:tc>
          <w:tcPr>
            <w:tcW w:w="969" w:type="dxa"/>
            <w:noWrap w:val="0"/>
            <w:vAlign w:val="center"/>
          </w:tcPr>
          <w:p>
            <w:pPr>
              <w:jc w:val="right"/>
              <w:rPr>
                <w:rFonts w:hint="eastAsia" w:ascii="宋体" w:hAnsi="宋体"/>
                <w:color w:val="000000"/>
                <w:sz w:val="18"/>
                <w:szCs w:val="18"/>
              </w:rPr>
            </w:pPr>
          </w:p>
        </w:tc>
        <w:tc>
          <w:tcPr>
            <w:tcW w:w="967" w:type="dxa"/>
            <w:noWrap w:val="0"/>
            <w:vAlign w:val="center"/>
          </w:tcPr>
          <w:p>
            <w:pPr>
              <w:widowControl/>
              <w:jc w:val="right"/>
              <w:textAlignment w:val="center"/>
              <w:rPr>
                <w:rFonts w:hint="eastAsia" w:ascii="宋体" w:hAnsi="宋体"/>
                <w:color w:val="000000"/>
                <w:sz w:val="18"/>
                <w:szCs w:val="18"/>
              </w:rPr>
            </w:pPr>
          </w:p>
        </w:tc>
        <w:tc>
          <w:tcPr>
            <w:tcW w:w="1057" w:type="dxa"/>
            <w:noWrap w:val="0"/>
            <w:vAlign w:val="center"/>
          </w:tcPr>
          <w:p>
            <w:pPr>
              <w:widowControl/>
              <w:jc w:val="right"/>
              <w:textAlignment w:val="center"/>
              <w:rPr>
                <w:rFonts w:hint="eastAsia" w:ascii="宋体" w:hAnsi="宋体"/>
                <w:color w:val="000000"/>
                <w:sz w:val="18"/>
                <w:szCs w:val="18"/>
              </w:rPr>
            </w:pPr>
          </w:p>
        </w:tc>
        <w:tc>
          <w:tcPr>
            <w:tcW w:w="985" w:type="dxa"/>
            <w:noWrap w:val="0"/>
            <w:vAlign w:val="center"/>
          </w:tcPr>
          <w:p>
            <w:pPr>
              <w:widowControl/>
              <w:jc w:val="right"/>
              <w:textAlignment w:val="center"/>
              <w:rPr>
                <w:rFonts w:hint="eastAsia" w:ascii="宋体" w:hAnsi="宋体"/>
                <w:color w:val="000000"/>
                <w:sz w:val="18"/>
                <w:szCs w:val="18"/>
              </w:rPr>
            </w:pPr>
          </w:p>
        </w:tc>
        <w:tc>
          <w:tcPr>
            <w:tcW w:w="1023" w:type="dxa"/>
            <w:noWrap w:val="0"/>
            <w:vAlign w:val="center"/>
          </w:tcPr>
          <w:p>
            <w:pPr>
              <w:widowControl/>
              <w:jc w:val="right"/>
              <w:textAlignment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pPr>
              <w:widowControl/>
              <w:textAlignment w:val="center"/>
              <w:rPr>
                <w:rFonts w:hint="eastAsia"/>
                <w:sz w:val="18"/>
                <w:szCs w:val="18"/>
              </w:rPr>
            </w:pPr>
            <w:r>
              <w:rPr>
                <w:rFonts w:hint="eastAsia" w:ascii="宋体" w:hAnsi="宋体" w:cs="宋体"/>
                <w:color w:val="000000"/>
                <w:kern w:val="0"/>
                <w:sz w:val="18"/>
                <w:szCs w:val="18"/>
                <w:lang w:eastAsia="zh-CN"/>
              </w:rPr>
              <w:t>126</w:t>
            </w:r>
          </w:p>
        </w:tc>
        <w:tc>
          <w:tcPr>
            <w:tcW w:w="1171"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百色市信访局</w:t>
            </w:r>
          </w:p>
        </w:tc>
        <w:tc>
          <w:tcPr>
            <w:tcW w:w="1138"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536.93</w:t>
            </w:r>
          </w:p>
        </w:tc>
        <w:tc>
          <w:tcPr>
            <w:tcW w:w="969"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536.93</w:t>
            </w:r>
          </w:p>
        </w:tc>
        <w:tc>
          <w:tcPr>
            <w:tcW w:w="965"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536.93</w:t>
            </w:r>
          </w:p>
        </w:tc>
        <w:tc>
          <w:tcPr>
            <w:tcW w:w="1009" w:type="dxa"/>
            <w:noWrap w:val="0"/>
            <w:vAlign w:val="center"/>
          </w:tcPr>
          <w:p>
            <w:pPr>
              <w:widowControl/>
              <w:jc w:val="right"/>
              <w:textAlignment w:val="center"/>
              <w:rPr>
                <w:rFonts w:hint="eastAsia" w:ascii="宋体" w:hAnsi="宋体"/>
                <w:color w:val="000000"/>
                <w:sz w:val="18"/>
                <w:szCs w:val="18"/>
              </w:rPr>
            </w:pPr>
          </w:p>
        </w:tc>
        <w:tc>
          <w:tcPr>
            <w:tcW w:w="965" w:type="dxa"/>
            <w:noWrap w:val="0"/>
            <w:vAlign w:val="center"/>
          </w:tcPr>
          <w:p>
            <w:pPr>
              <w:widowControl/>
              <w:jc w:val="right"/>
              <w:textAlignment w:val="center"/>
              <w:rPr>
                <w:rFonts w:hint="eastAsia" w:ascii="宋体" w:hAnsi="宋体"/>
                <w:color w:val="000000"/>
                <w:sz w:val="18"/>
                <w:szCs w:val="18"/>
              </w:rPr>
            </w:pPr>
          </w:p>
        </w:tc>
        <w:tc>
          <w:tcPr>
            <w:tcW w:w="940" w:type="dxa"/>
            <w:noWrap w:val="0"/>
            <w:vAlign w:val="center"/>
          </w:tcPr>
          <w:p>
            <w:pPr>
              <w:widowControl/>
              <w:jc w:val="right"/>
              <w:textAlignment w:val="center"/>
              <w:rPr>
                <w:rFonts w:hint="eastAsia" w:ascii="宋体" w:hAnsi="宋体"/>
                <w:color w:val="000000"/>
                <w:sz w:val="18"/>
                <w:szCs w:val="18"/>
              </w:rPr>
            </w:pPr>
          </w:p>
        </w:tc>
        <w:tc>
          <w:tcPr>
            <w:tcW w:w="971" w:type="dxa"/>
            <w:gridSpan w:val="2"/>
            <w:noWrap w:val="0"/>
            <w:vAlign w:val="center"/>
          </w:tcPr>
          <w:p>
            <w:pPr>
              <w:jc w:val="right"/>
              <w:rPr>
                <w:rFonts w:hint="eastAsia" w:ascii="宋体" w:hAnsi="宋体"/>
                <w:color w:val="000000"/>
                <w:sz w:val="18"/>
                <w:szCs w:val="18"/>
              </w:rPr>
            </w:pPr>
          </w:p>
        </w:tc>
        <w:tc>
          <w:tcPr>
            <w:tcW w:w="1008" w:type="dxa"/>
            <w:noWrap w:val="0"/>
            <w:vAlign w:val="center"/>
          </w:tcPr>
          <w:p>
            <w:pPr>
              <w:jc w:val="right"/>
              <w:rPr>
                <w:rFonts w:hint="eastAsia" w:ascii="宋体" w:hAnsi="宋体"/>
                <w:color w:val="000000"/>
                <w:sz w:val="18"/>
                <w:szCs w:val="18"/>
              </w:rPr>
            </w:pPr>
          </w:p>
        </w:tc>
        <w:tc>
          <w:tcPr>
            <w:tcW w:w="969" w:type="dxa"/>
            <w:noWrap w:val="0"/>
            <w:vAlign w:val="center"/>
          </w:tcPr>
          <w:p>
            <w:pPr>
              <w:jc w:val="right"/>
              <w:rPr>
                <w:rFonts w:hint="eastAsia" w:ascii="宋体" w:hAnsi="宋体"/>
                <w:color w:val="000000"/>
                <w:sz w:val="18"/>
                <w:szCs w:val="18"/>
              </w:rPr>
            </w:pPr>
          </w:p>
        </w:tc>
        <w:tc>
          <w:tcPr>
            <w:tcW w:w="967" w:type="dxa"/>
            <w:noWrap w:val="0"/>
            <w:vAlign w:val="center"/>
          </w:tcPr>
          <w:p>
            <w:pPr>
              <w:widowControl/>
              <w:jc w:val="right"/>
              <w:textAlignment w:val="center"/>
              <w:rPr>
                <w:rFonts w:hint="eastAsia" w:ascii="宋体" w:hAnsi="宋体"/>
                <w:color w:val="000000"/>
                <w:sz w:val="18"/>
                <w:szCs w:val="18"/>
              </w:rPr>
            </w:pPr>
          </w:p>
        </w:tc>
        <w:tc>
          <w:tcPr>
            <w:tcW w:w="1057" w:type="dxa"/>
            <w:noWrap w:val="0"/>
            <w:vAlign w:val="center"/>
          </w:tcPr>
          <w:p>
            <w:pPr>
              <w:widowControl/>
              <w:jc w:val="right"/>
              <w:textAlignment w:val="center"/>
              <w:rPr>
                <w:rFonts w:hint="eastAsia" w:ascii="宋体" w:hAnsi="宋体"/>
                <w:color w:val="000000"/>
                <w:sz w:val="18"/>
                <w:szCs w:val="18"/>
              </w:rPr>
            </w:pPr>
          </w:p>
        </w:tc>
        <w:tc>
          <w:tcPr>
            <w:tcW w:w="985" w:type="dxa"/>
            <w:noWrap w:val="0"/>
            <w:vAlign w:val="center"/>
          </w:tcPr>
          <w:p>
            <w:pPr>
              <w:widowControl/>
              <w:jc w:val="right"/>
              <w:textAlignment w:val="center"/>
              <w:rPr>
                <w:rFonts w:hint="eastAsia" w:ascii="宋体" w:hAnsi="宋体"/>
                <w:color w:val="000000"/>
                <w:sz w:val="18"/>
                <w:szCs w:val="18"/>
              </w:rPr>
            </w:pPr>
          </w:p>
        </w:tc>
        <w:tc>
          <w:tcPr>
            <w:tcW w:w="1023" w:type="dxa"/>
            <w:noWrap w:val="0"/>
            <w:vAlign w:val="center"/>
          </w:tcPr>
          <w:p>
            <w:pPr>
              <w:widowControl/>
              <w:jc w:val="right"/>
              <w:textAlignment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pPr>
              <w:widowControl/>
              <w:textAlignment w:val="center"/>
              <w:rPr>
                <w:rFonts w:hint="eastAsia"/>
                <w:sz w:val="18"/>
                <w:szCs w:val="18"/>
              </w:rPr>
            </w:pPr>
            <w:r>
              <w:rPr>
                <w:rFonts w:hint="eastAsia" w:ascii="宋体" w:hAnsi="宋体" w:cs="宋体"/>
                <w:color w:val="000000"/>
                <w:kern w:val="0"/>
                <w:sz w:val="18"/>
                <w:szCs w:val="18"/>
                <w:lang w:eastAsia="zh-CN"/>
              </w:rPr>
              <w:t>126001</w:t>
            </w:r>
          </w:p>
        </w:tc>
        <w:tc>
          <w:tcPr>
            <w:tcW w:w="1171"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百色市信访局</w:t>
            </w:r>
          </w:p>
        </w:tc>
        <w:tc>
          <w:tcPr>
            <w:tcW w:w="1138"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391.05</w:t>
            </w:r>
          </w:p>
        </w:tc>
        <w:tc>
          <w:tcPr>
            <w:tcW w:w="969"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391.05</w:t>
            </w:r>
          </w:p>
        </w:tc>
        <w:tc>
          <w:tcPr>
            <w:tcW w:w="965"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391.05</w:t>
            </w:r>
          </w:p>
        </w:tc>
        <w:tc>
          <w:tcPr>
            <w:tcW w:w="1009" w:type="dxa"/>
            <w:noWrap w:val="0"/>
            <w:vAlign w:val="center"/>
          </w:tcPr>
          <w:p>
            <w:pPr>
              <w:widowControl/>
              <w:jc w:val="right"/>
              <w:textAlignment w:val="center"/>
              <w:rPr>
                <w:rFonts w:hint="eastAsia" w:ascii="宋体" w:hAnsi="宋体"/>
                <w:color w:val="000000"/>
                <w:sz w:val="18"/>
                <w:szCs w:val="18"/>
              </w:rPr>
            </w:pPr>
          </w:p>
        </w:tc>
        <w:tc>
          <w:tcPr>
            <w:tcW w:w="965" w:type="dxa"/>
            <w:noWrap w:val="0"/>
            <w:vAlign w:val="center"/>
          </w:tcPr>
          <w:p>
            <w:pPr>
              <w:widowControl/>
              <w:jc w:val="right"/>
              <w:textAlignment w:val="center"/>
              <w:rPr>
                <w:rFonts w:hint="eastAsia" w:ascii="宋体" w:hAnsi="宋体"/>
                <w:color w:val="000000"/>
                <w:sz w:val="18"/>
                <w:szCs w:val="18"/>
              </w:rPr>
            </w:pPr>
          </w:p>
        </w:tc>
        <w:tc>
          <w:tcPr>
            <w:tcW w:w="940" w:type="dxa"/>
            <w:noWrap w:val="0"/>
            <w:vAlign w:val="center"/>
          </w:tcPr>
          <w:p>
            <w:pPr>
              <w:widowControl/>
              <w:jc w:val="right"/>
              <w:textAlignment w:val="center"/>
              <w:rPr>
                <w:rFonts w:hint="eastAsia" w:ascii="宋体" w:hAnsi="宋体"/>
                <w:color w:val="000000"/>
                <w:sz w:val="18"/>
                <w:szCs w:val="18"/>
              </w:rPr>
            </w:pPr>
          </w:p>
        </w:tc>
        <w:tc>
          <w:tcPr>
            <w:tcW w:w="971" w:type="dxa"/>
            <w:gridSpan w:val="2"/>
            <w:noWrap w:val="0"/>
            <w:vAlign w:val="center"/>
          </w:tcPr>
          <w:p>
            <w:pPr>
              <w:jc w:val="right"/>
              <w:rPr>
                <w:rFonts w:hint="eastAsia" w:ascii="宋体" w:hAnsi="宋体"/>
                <w:color w:val="000000"/>
                <w:sz w:val="18"/>
                <w:szCs w:val="18"/>
              </w:rPr>
            </w:pPr>
          </w:p>
        </w:tc>
        <w:tc>
          <w:tcPr>
            <w:tcW w:w="1008" w:type="dxa"/>
            <w:noWrap w:val="0"/>
            <w:vAlign w:val="center"/>
          </w:tcPr>
          <w:p>
            <w:pPr>
              <w:jc w:val="right"/>
              <w:rPr>
                <w:rFonts w:hint="eastAsia" w:ascii="宋体" w:hAnsi="宋体"/>
                <w:color w:val="000000"/>
                <w:sz w:val="18"/>
                <w:szCs w:val="18"/>
              </w:rPr>
            </w:pPr>
          </w:p>
        </w:tc>
        <w:tc>
          <w:tcPr>
            <w:tcW w:w="969" w:type="dxa"/>
            <w:noWrap w:val="0"/>
            <w:vAlign w:val="center"/>
          </w:tcPr>
          <w:p>
            <w:pPr>
              <w:jc w:val="right"/>
              <w:rPr>
                <w:rFonts w:hint="eastAsia" w:ascii="宋体" w:hAnsi="宋体"/>
                <w:color w:val="000000"/>
                <w:sz w:val="18"/>
                <w:szCs w:val="18"/>
              </w:rPr>
            </w:pPr>
          </w:p>
        </w:tc>
        <w:tc>
          <w:tcPr>
            <w:tcW w:w="967" w:type="dxa"/>
            <w:noWrap w:val="0"/>
            <w:vAlign w:val="center"/>
          </w:tcPr>
          <w:p>
            <w:pPr>
              <w:widowControl/>
              <w:jc w:val="right"/>
              <w:textAlignment w:val="center"/>
              <w:rPr>
                <w:rFonts w:hint="eastAsia" w:ascii="宋体" w:hAnsi="宋体"/>
                <w:color w:val="000000"/>
                <w:sz w:val="18"/>
                <w:szCs w:val="18"/>
              </w:rPr>
            </w:pPr>
          </w:p>
        </w:tc>
        <w:tc>
          <w:tcPr>
            <w:tcW w:w="1057" w:type="dxa"/>
            <w:noWrap w:val="0"/>
            <w:vAlign w:val="center"/>
          </w:tcPr>
          <w:p>
            <w:pPr>
              <w:widowControl/>
              <w:jc w:val="right"/>
              <w:textAlignment w:val="center"/>
              <w:rPr>
                <w:rFonts w:hint="eastAsia" w:ascii="宋体" w:hAnsi="宋体"/>
                <w:color w:val="000000"/>
                <w:sz w:val="18"/>
                <w:szCs w:val="18"/>
              </w:rPr>
            </w:pPr>
          </w:p>
        </w:tc>
        <w:tc>
          <w:tcPr>
            <w:tcW w:w="985" w:type="dxa"/>
            <w:noWrap w:val="0"/>
            <w:vAlign w:val="center"/>
          </w:tcPr>
          <w:p>
            <w:pPr>
              <w:widowControl/>
              <w:jc w:val="right"/>
              <w:textAlignment w:val="center"/>
              <w:rPr>
                <w:rFonts w:hint="eastAsia" w:ascii="宋体" w:hAnsi="宋体"/>
                <w:color w:val="000000"/>
                <w:sz w:val="18"/>
                <w:szCs w:val="18"/>
              </w:rPr>
            </w:pPr>
          </w:p>
        </w:tc>
        <w:tc>
          <w:tcPr>
            <w:tcW w:w="1023" w:type="dxa"/>
            <w:noWrap w:val="0"/>
            <w:vAlign w:val="center"/>
          </w:tcPr>
          <w:p>
            <w:pPr>
              <w:widowControl/>
              <w:jc w:val="right"/>
              <w:textAlignment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pPr>
              <w:widowControl/>
              <w:textAlignment w:val="center"/>
              <w:rPr>
                <w:rFonts w:hint="eastAsia"/>
                <w:sz w:val="18"/>
                <w:szCs w:val="18"/>
              </w:rPr>
            </w:pPr>
            <w:r>
              <w:rPr>
                <w:rFonts w:hint="eastAsia" w:ascii="宋体" w:hAnsi="宋体" w:cs="宋体"/>
                <w:color w:val="000000"/>
                <w:kern w:val="0"/>
                <w:sz w:val="18"/>
                <w:szCs w:val="18"/>
                <w:lang w:eastAsia="zh-CN"/>
              </w:rPr>
              <w:t>126002</w:t>
            </w:r>
          </w:p>
        </w:tc>
        <w:tc>
          <w:tcPr>
            <w:tcW w:w="1171"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百色市群众工作服务中心</w:t>
            </w:r>
          </w:p>
        </w:tc>
        <w:tc>
          <w:tcPr>
            <w:tcW w:w="1138"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145.88</w:t>
            </w:r>
          </w:p>
        </w:tc>
        <w:tc>
          <w:tcPr>
            <w:tcW w:w="969"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145.88</w:t>
            </w:r>
          </w:p>
        </w:tc>
        <w:tc>
          <w:tcPr>
            <w:tcW w:w="965"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145.88</w:t>
            </w:r>
          </w:p>
        </w:tc>
        <w:tc>
          <w:tcPr>
            <w:tcW w:w="1009" w:type="dxa"/>
            <w:noWrap w:val="0"/>
            <w:vAlign w:val="center"/>
          </w:tcPr>
          <w:p>
            <w:pPr>
              <w:widowControl/>
              <w:jc w:val="right"/>
              <w:textAlignment w:val="center"/>
              <w:rPr>
                <w:rFonts w:hint="eastAsia" w:ascii="宋体" w:hAnsi="宋体"/>
                <w:color w:val="000000"/>
                <w:sz w:val="18"/>
                <w:szCs w:val="18"/>
              </w:rPr>
            </w:pPr>
          </w:p>
        </w:tc>
        <w:tc>
          <w:tcPr>
            <w:tcW w:w="965" w:type="dxa"/>
            <w:noWrap w:val="0"/>
            <w:vAlign w:val="center"/>
          </w:tcPr>
          <w:p>
            <w:pPr>
              <w:widowControl/>
              <w:jc w:val="right"/>
              <w:textAlignment w:val="center"/>
              <w:rPr>
                <w:rFonts w:hint="eastAsia" w:ascii="宋体" w:hAnsi="宋体"/>
                <w:color w:val="000000"/>
                <w:sz w:val="18"/>
                <w:szCs w:val="18"/>
              </w:rPr>
            </w:pPr>
          </w:p>
        </w:tc>
        <w:tc>
          <w:tcPr>
            <w:tcW w:w="940" w:type="dxa"/>
            <w:noWrap w:val="0"/>
            <w:vAlign w:val="center"/>
          </w:tcPr>
          <w:p>
            <w:pPr>
              <w:widowControl/>
              <w:jc w:val="right"/>
              <w:textAlignment w:val="center"/>
              <w:rPr>
                <w:rFonts w:hint="eastAsia" w:ascii="宋体" w:hAnsi="宋体"/>
                <w:color w:val="000000"/>
                <w:sz w:val="18"/>
                <w:szCs w:val="18"/>
              </w:rPr>
            </w:pPr>
          </w:p>
        </w:tc>
        <w:tc>
          <w:tcPr>
            <w:tcW w:w="971" w:type="dxa"/>
            <w:gridSpan w:val="2"/>
            <w:noWrap w:val="0"/>
            <w:vAlign w:val="center"/>
          </w:tcPr>
          <w:p>
            <w:pPr>
              <w:jc w:val="right"/>
              <w:rPr>
                <w:rFonts w:hint="eastAsia" w:ascii="宋体" w:hAnsi="宋体"/>
                <w:color w:val="000000"/>
                <w:sz w:val="18"/>
                <w:szCs w:val="18"/>
              </w:rPr>
            </w:pPr>
          </w:p>
        </w:tc>
        <w:tc>
          <w:tcPr>
            <w:tcW w:w="1008" w:type="dxa"/>
            <w:noWrap w:val="0"/>
            <w:vAlign w:val="center"/>
          </w:tcPr>
          <w:p>
            <w:pPr>
              <w:jc w:val="right"/>
              <w:rPr>
                <w:rFonts w:hint="eastAsia" w:ascii="宋体" w:hAnsi="宋体"/>
                <w:color w:val="000000"/>
                <w:sz w:val="18"/>
                <w:szCs w:val="18"/>
              </w:rPr>
            </w:pPr>
          </w:p>
        </w:tc>
        <w:tc>
          <w:tcPr>
            <w:tcW w:w="969" w:type="dxa"/>
            <w:noWrap w:val="0"/>
            <w:vAlign w:val="center"/>
          </w:tcPr>
          <w:p>
            <w:pPr>
              <w:jc w:val="right"/>
              <w:rPr>
                <w:rFonts w:hint="eastAsia" w:ascii="宋体" w:hAnsi="宋体"/>
                <w:color w:val="000000"/>
                <w:sz w:val="18"/>
                <w:szCs w:val="18"/>
              </w:rPr>
            </w:pPr>
          </w:p>
        </w:tc>
        <w:tc>
          <w:tcPr>
            <w:tcW w:w="967" w:type="dxa"/>
            <w:noWrap w:val="0"/>
            <w:vAlign w:val="center"/>
          </w:tcPr>
          <w:p>
            <w:pPr>
              <w:widowControl/>
              <w:jc w:val="right"/>
              <w:textAlignment w:val="center"/>
              <w:rPr>
                <w:rFonts w:hint="eastAsia" w:ascii="宋体" w:hAnsi="宋体"/>
                <w:color w:val="000000"/>
                <w:sz w:val="18"/>
                <w:szCs w:val="18"/>
              </w:rPr>
            </w:pPr>
          </w:p>
        </w:tc>
        <w:tc>
          <w:tcPr>
            <w:tcW w:w="1057" w:type="dxa"/>
            <w:noWrap w:val="0"/>
            <w:vAlign w:val="center"/>
          </w:tcPr>
          <w:p>
            <w:pPr>
              <w:widowControl/>
              <w:jc w:val="right"/>
              <w:textAlignment w:val="center"/>
              <w:rPr>
                <w:rFonts w:hint="eastAsia" w:ascii="宋体" w:hAnsi="宋体"/>
                <w:color w:val="000000"/>
                <w:sz w:val="18"/>
                <w:szCs w:val="18"/>
              </w:rPr>
            </w:pPr>
          </w:p>
        </w:tc>
        <w:tc>
          <w:tcPr>
            <w:tcW w:w="985" w:type="dxa"/>
            <w:noWrap w:val="0"/>
            <w:vAlign w:val="center"/>
          </w:tcPr>
          <w:p>
            <w:pPr>
              <w:widowControl/>
              <w:jc w:val="right"/>
              <w:textAlignment w:val="center"/>
              <w:rPr>
                <w:rFonts w:hint="eastAsia" w:ascii="宋体" w:hAnsi="宋体"/>
                <w:color w:val="000000"/>
                <w:sz w:val="18"/>
                <w:szCs w:val="18"/>
              </w:rPr>
            </w:pPr>
          </w:p>
        </w:tc>
        <w:tc>
          <w:tcPr>
            <w:tcW w:w="1023" w:type="dxa"/>
            <w:noWrap w:val="0"/>
            <w:vAlign w:val="center"/>
          </w:tcPr>
          <w:p>
            <w:pPr>
              <w:widowControl/>
              <w:jc w:val="right"/>
              <w:textAlignment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pPr>
              <w:widowControl/>
              <w:jc w:val="left"/>
              <w:textAlignment w:val="center"/>
              <w:rPr>
                <w:rFonts w:ascii="宋体" w:hAnsi="宋体"/>
                <w:color w:val="000000"/>
                <w:kern w:val="0"/>
                <w:sz w:val="18"/>
                <w:szCs w:val="18"/>
              </w:rPr>
            </w:pPr>
          </w:p>
        </w:tc>
        <w:tc>
          <w:tcPr>
            <w:tcW w:w="1171" w:type="dxa"/>
            <w:noWrap w:val="0"/>
            <w:vAlign w:val="center"/>
          </w:tcPr>
          <w:p>
            <w:pPr>
              <w:widowControl/>
              <w:jc w:val="left"/>
              <w:textAlignment w:val="center"/>
              <w:rPr>
                <w:rFonts w:ascii="宋体" w:hAnsi="宋体"/>
                <w:color w:val="000000"/>
                <w:kern w:val="0"/>
                <w:sz w:val="18"/>
                <w:szCs w:val="18"/>
              </w:rPr>
            </w:pPr>
          </w:p>
        </w:tc>
        <w:tc>
          <w:tcPr>
            <w:tcW w:w="1138" w:type="dxa"/>
            <w:noWrap w:val="0"/>
            <w:vAlign w:val="center"/>
          </w:tcPr>
          <w:p>
            <w:pPr>
              <w:widowControl/>
              <w:jc w:val="right"/>
              <w:textAlignment w:val="center"/>
              <w:rPr>
                <w:rFonts w:ascii="宋体" w:hAnsi="宋体"/>
                <w:color w:val="000000"/>
                <w:kern w:val="0"/>
                <w:sz w:val="18"/>
                <w:szCs w:val="18"/>
              </w:rPr>
            </w:pPr>
          </w:p>
        </w:tc>
        <w:tc>
          <w:tcPr>
            <w:tcW w:w="969" w:type="dxa"/>
            <w:noWrap w:val="0"/>
            <w:vAlign w:val="center"/>
          </w:tcPr>
          <w:p>
            <w:pPr>
              <w:widowControl/>
              <w:jc w:val="right"/>
              <w:textAlignment w:val="center"/>
              <w:rPr>
                <w:rFonts w:ascii="宋体" w:hAnsi="宋体"/>
                <w:color w:val="000000"/>
                <w:kern w:val="0"/>
                <w:sz w:val="18"/>
                <w:szCs w:val="18"/>
              </w:rPr>
            </w:pPr>
          </w:p>
        </w:tc>
        <w:tc>
          <w:tcPr>
            <w:tcW w:w="965" w:type="dxa"/>
            <w:noWrap w:val="0"/>
            <w:vAlign w:val="center"/>
          </w:tcPr>
          <w:p>
            <w:pPr>
              <w:widowControl/>
              <w:jc w:val="right"/>
              <w:textAlignment w:val="center"/>
              <w:rPr>
                <w:rFonts w:ascii="宋体" w:hAnsi="宋体"/>
                <w:color w:val="000000"/>
                <w:kern w:val="0"/>
                <w:sz w:val="18"/>
                <w:szCs w:val="18"/>
              </w:rPr>
            </w:pPr>
          </w:p>
        </w:tc>
        <w:tc>
          <w:tcPr>
            <w:tcW w:w="1009" w:type="dxa"/>
            <w:noWrap w:val="0"/>
            <w:vAlign w:val="center"/>
          </w:tcPr>
          <w:p>
            <w:pPr>
              <w:widowControl/>
              <w:tabs>
                <w:tab w:val="left" w:pos="560"/>
              </w:tabs>
              <w:jc w:val="right"/>
              <w:textAlignment w:val="center"/>
              <w:rPr>
                <w:rFonts w:ascii="宋体" w:hAnsi="宋体"/>
                <w:color w:val="000000"/>
                <w:kern w:val="0"/>
                <w:sz w:val="18"/>
                <w:szCs w:val="18"/>
              </w:rPr>
            </w:pPr>
          </w:p>
        </w:tc>
        <w:tc>
          <w:tcPr>
            <w:tcW w:w="965" w:type="dxa"/>
            <w:noWrap w:val="0"/>
            <w:vAlign w:val="center"/>
          </w:tcPr>
          <w:p>
            <w:pPr>
              <w:widowControl/>
              <w:jc w:val="right"/>
              <w:textAlignment w:val="center"/>
              <w:rPr>
                <w:rFonts w:ascii="宋体" w:hAnsi="宋体"/>
                <w:color w:val="000000"/>
                <w:kern w:val="0"/>
                <w:sz w:val="18"/>
                <w:szCs w:val="18"/>
              </w:rPr>
            </w:pPr>
          </w:p>
        </w:tc>
        <w:tc>
          <w:tcPr>
            <w:tcW w:w="940" w:type="dxa"/>
            <w:noWrap w:val="0"/>
            <w:vAlign w:val="center"/>
          </w:tcPr>
          <w:p>
            <w:pPr>
              <w:widowControl/>
              <w:tabs>
                <w:tab w:val="left" w:pos="560"/>
              </w:tabs>
              <w:jc w:val="right"/>
              <w:textAlignment w:val="center"/>
              <w:rPr>
                <w:rFonts w:ascii="宋体" w:hAnsi="宋体"/>
                <w:color w:val="000000"/>
                <w:kern w:val="0"/>
                <w:sz w:val="18"/>
                <w:szCs w:val="18"/>
              </w:rPr>
            </w:pPr>
          </w:p>
        </w:tc>
        <w:tc>
          <w:tcPr>
            <w:tcW w:w="971" w:type="dxa"/>
            <w:gridSpan w:val="2"/>
            <w:noWrap w:val="0"/>
            <w:vAlign w:val="center"/>
          </w:tcPr>
          <w:p>
            <w:pPr>
              <w:widowControl/>
              <w:tabs>
                <w:tab w:val="left" w:pos="560"/>
              </w:tabs>
              <w:jc w:val="right"/>
              <w:textAlignment w:val="center"/>
              <w:rPr>
                <w:rFonts w:ascii="宋体" w:hAnsi="宋体"/>
                <w:color w:val="000000"/>
                <w:kern w:val="0"/>
                <w:sz w:val="18"/>
                <w:szCs w:val="18"/>
              </w:rPr>
            </w:pPr>
          </w:p>
        </w:tc>
        <w:tc>
          <w:tcPr>
            <w:tcW w:w="1008" w:type="dxa"/>
            <w:noWrap w:val="0"/>
            <w:vAlign w:val="center"/>
          </w:tcPr>
          <w:p>
            <w:pPr>
              <w:widowControl/>
              <w:tabs>
                <w:tab w:val="left" w:pos="560"/>
              </w:tabs>
              <w:jc w:val="right"/>
              <w:textAlignment w:val="center"/>
              <w:rPr>
                <w:rFonts w:ascii="宋体" w:hAnsi="宋体"/>
                <w:color w:val="000000"/>
                <w:kern w:val="0"/>
                <w:sz w:val="18"/>
                <w:szCs w:val="18"/>
              </w:rPr>
            </w:pPr>
          </w:p>
        </w:tc>
        <w:tc>
          <w:tcPr>
            <w:tcW w:w="969" w:type="dxa"/>
            <w:noWrap w:val="0"/>
            <w:vAlign w:val="center"/>
          </w:tcPr>
          <w:p>
            <w:pPr>
              <w:widowControl/>
              <w:tabs>
                <w:tab w:val="left" w:pos="560"/>
              </w:tabs>
              <w:jc w:val="right"/>
              <w:textAlignment w:val="center"/>
              <w:rPr>
                <w:rFonts w:ascii="宋体" w:hAnsi="宋体"/>
                <w:color w:val="000000"/>
                <w:kern w:val="0"/>
                <w:sz w:val="18"/>
                <w:szCs w:val="18"/>
              </w:rPr>
            </w:pPr>
          </w:p>
        </w:tc>
        <w:tc>
          <w:tcPr>
            <w:tcW w:w="967" w:type="dxa"/>
            <w:noWrap w:val="0"/>
            <w:vAlign w:val="center"/>
          </w:tcPr>
          <w:p>
            <w:pPr>
              <w:widowControl/>
              <w:tabs>
                <w:tab w:val="left" w:pos="560"/>
              </w:tabs>
              <w:jc w:val="right"/>
              <w:textAlignment w:val="center"/>
              <w:rPr>
                <w:rFonts w:ascii="宋体" w:hAnsi="宋体"/>
                <w:color w:val="000000"/>
                <w:kern w:val="0"/>
                <w:sz w:val="18"/>
                <w:szCs w:val="18"/>
              </w:rPr>
            </w:pPr>
          </w:p>
        </w:tc>
        <w:tc>
          <w:tcPr>
            <w:tcW w:w="1057" w:type="dxa"/>
            <w:noWrap w:val="0"/>
            <w:vAlign w:val="center"/>
          </w:tcPr>
          <w:p>
            <w:pPr>
              <w:widowControl/>
              <w:tabs>
                <w:tab w:val="left" w:pos="560"/>
              </w:tabs>
              <w:jc w:val="right"/>
              <w:textAlignment w:val="center"/>
              <w:rPr>
                <w:rFonts w:ascii="宋体" w:hAnsi="宋体"/>
                <w:color w:val="000000"/>
                <w:kern w:val="0"/>
                <w:sz w:val="18"/>
                <w:szCs w:val="18"/>
              </w:rPr>
            </w:pPr>
          </w:p>
        </w:tc>
        <w:tc>
          <w:tcPr>
            <w:tcW w:w="985" w:type="dxa"/>
            <w:noWrap w:val="0"/>
            <w:vAlign w:val="center"/>
          </w:tcPr>
          <w:p>
            <w:pPr>
              <w:widowControl/>
              <w:tabs>
                <w:tab w:val="left" w:pos="560"/>
              </w:tabs>
              <w:jc w:val="right"/>
              <w:textAlignment w:val="center"/>
              <w:rPr>
                <w:rFonts w:ascii="宋体" w:hAnsi="宋体"/>
                <w:color w:val="000000"/>
                <w:kern w:val="0"/>
                <w:sz w:val="18"/>
                <w:szCs w:val="18"/>
              </w:rPr>
            </w:pPr>
          </w:p>
        </w:tc>
        <w:tc>
          <w:tcPr>
            <w:tcW w:w="1023" w:type="dxa"/>
            <w:noWrap w:val="0"/>
            <w:vAlign w:val="center"/>
          </w:tcPr>
          <w:p>
            <w:pPr>
              <w:widowControl/>
              <w:tabs>
                <w:tab w:val="left" w:pos="560"/>
              </w:tabs>
              <w:jc w:val="right"/>
              <w:textAlignment w:val="center"/>
              <w:rPr>
                <w:rFonts w:ascii="宋体" w:hAnsi="宋体"/>
                <w:color w:val="000000"/>
                <w:kern w:val="0"/>
                <w:sz w:val="18"/>
                <w:szCs w:val="18"/>
              </w:rPr>
            </w:pPr>
          </w:p>
        </w:tc>
      </w:tr>
      <w:bookmarkEnd w:id="13"/>
    </w:tbl>
    <w:p>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w:t>
      </w:r>
      <w:bookmarkStart w:id="15" w:name="PO_part2Table1Remark2"/>
      <w:r>
        <w:rPr>
          <w:rFonts w:hint="eastAsia" w:ascii="宋体" w:hAnsi="宋体" w:cs="宋体"/>
          <w:color w:val="000000"/>
          <w:kern w:val="0"/>
          <w:sz w:val="18"/>
          <w:szCs w:val="18"/>
          <w:lang w:bidi="ar"/>
        </w:rPr>
        <w:t xml:space="preserve"> 报表金额单位转换时可能存在四舍五入尾数误差。</w:t>
      </w:r>
      <w:bookmarkEnd w:id="15"/>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pPr>
        <w:rPr>
          <w:rFonts w:hint="eastAsia"/>
        </w:rPr>
      </w:pPr>
      <w:bookmarkStart w:id="16" w:name="PO_part2Table3"/>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2"/>
        <w:gridCol w:w="610"/>
        <w:gridCol w:w="4"/>
        <w:gridCol w:w="616"/>
        <w:gridCol w:w="2175"/>
        <w:gridCol w:w="2191"/>
        <w:gridCol w:w="1364"/>
        <w:gridCol w:w="940"/>
        <w:gridCol w:w="1255"/>
        <w:gridCol w:w="2032"/>
        <w:gridCol w:w="151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3"/>
            <w:tcBorders>
              <w:top w:val="nil"/>
              <w:left w:val="nil"/>
              <w:bottom w:val="nil"/>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预算公开03</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3"/>
            <w:tcBorders>
              <w:top w:val="nil"/>
              <w:left w:val="nil"/>
              <w:bottom w:val="nil"/>
              <w:right w:val="nil"/>
            </w:tcBorders>
            <w:noWrap w:val="0"/>
            <w:vAlign w:val="center"/>
          </w:tcPr>
          <w:p>
            <w:pPr>
              <w:jc w:val="center"/>
              <w:rPr>
                <w:rFonts w:hint="eastAsia" w:ascii="宋体" w:hAnsi="宋体"/>
                <w:b/>
                <w:bCs/>
                <w:color w:val="000000"/>
                <w:kern w:val="0"/>
                <w:sz w:val="26"/>
                <w:szCs w:val="26"/>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支出总体情况表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574" w:type="dxa"/>
            <w:gridSpan w:val="8"/>
            <w:tcBorders>
              <w:top w:val="nil"/>
              <w:left w:val="nil"/>
              <w:bottom w:val="nil"/>
              <w:right w:val="nil"/>
            </w:tcBorders>
            <w:noWrap w:val="0"/>
            <w:vAlign w:val="center"/>
          </w:tcPr>
          <w:p>
            <w:pPr>
              <w:jc w:val="left"/>
              <w:rPr>
                <w:rFonts w:hint="eastAsia" w:ascii="宋体" w:hAnsi="宋体"/>
                <w:b/>
                <w:bCs/>
                <w:color w:val="000000"/>
                <w:kern w:val="0"/>
                <w:sz w:val="26"/>
                <w:szCs w:val="26"/>
              </w:rPr>
            </w:pPr>
            <w:r>
              <w:rPr>
                <w:rFonts w:hint="eastAsia" w:ascii="宋体" w:hAnsi="宋体"/>
                <w:color w:val="000000"/>
                <w:kern w:val="0"/>
                <w:sz w:val="18"/>
                <w:szCs w:val="18"/>
              </w:rPr>
              <w:t>单位名称：</w:t>
            </w:r>
            <w:bookmarkStart w:id="17" w:name="PO_part2Table1DivName3"/>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百色市信访局</w:t>
            </w:r>
            <w:r>
              <w:rPr>
                <w:rFonts w:hint="eastAsia" w:ascii="宋体" w:hAnsi="宋体"/>
                <w:color w:val="000000"/>
                <w:kern w:val="0"/>
                <w:sz w:val="18"/>
                <w:szCs w:val="18"/>
              </w:rPr>
              <w:t xml:space="preserve"> </w:t>
            </w:r>
            <w:bookmarkEnd w:id="17"/>
          </w:p>
        </w:tc>
        <w:tc>
          <w:tcPr>
            <w:tcW w:w="7733" w:type="dxa"/>
            <w:gridSpan w:val="5"/>
            <w:tcBorders>
              <w:top w:val="nil"/>
              <w:left w:val="nil"/>
              <w:bottom w:val="nil"/>
              <w:right w:val="nil"/>
            </w:tcBorders>
            <w:noWrap w:val="0"/>
            <w:vAlign w:val="center"/>
          </w:tcPr>
          <w:p>
            <w:pPr>
              <w:jc w:val="right"/>
              <w:rPr>
                <w:rFonts w:hint="eastAsia" w:ascii="宋体" w:hAnsi="宋体"/>
                <w:b/>
                <w:bCs/>
                <w:color w:val="000000"/>
                <w:kern w:val="0"/>
                <w:sz w:val="26"/>
                <w:szCs w:val="26"/>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1844" w:type="dxa"/>
            <w:gridSpan w:val="5"/>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217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部门（单位）代码</w:t>
            </w:r>
          </w:p>
        </w:tc>
        <w:tc>
          <w:tcPr>
            <w:tcW w:w="2191" w:type="dxa"/>
            <w:vMerge w:val="restart"/>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部门（单位）名称</w:t>
            </w:r>
          </w:p>
          <w:p>
            <w:pPr>
              <w:widowControl/>
              <w:jc w:val="center"/>
              <w:textAlignment w:val="center"/>
              <w:rPr>
                <w:rFonts w:hint="eastAsia" w:ascii="宋体" w:hAnsi="宋体"/>
                <w:color w:val="000000"/>
                <w:sz w:val="18"/>
                <w:szCs w:val="18"/>
              </w:rPr>
            </w:pPr>
            <w:r>
              <w:rPr>
                <w:rFonts w:hint="eastAsia" w:ascii="宋体" w:hAnsi="宋体"/>
                <w:color w:val="000000"/>
                <w:sz w:val="18"/>
                <w:szCs w:val="18"/>
              </w:rPr>
              <w:t>(功能分类科目名称)</w:t>
            </w:r>
          </w:p>
        </w:tc>
        <w:tc>
          <w:tcPr>
            <w:tcW w:w="9097" w:type="dxa"/>
            <w:gridSpan w:val="6"/>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blHeader/>
        </w:trPr>
        <w:tc>
          <w:tcPr>
            <w:tcW w:w="1844" w:type="dxa"/>
            <w:gridSpan w:val="5"/>
            <w:vMerge w:val="continue"/>
            <w:noWrap w:val="0"/>
            <w:vAlign w:val="center"/>
          </w:tcPr>
          <w:p>
            <w:pPr>
              <w:widowControl/>
              <w:jc w:val="center"/>
              <w:textAlignment w:val="center"/>
              <w:rPr>
                <w:rFonts w:hint="eastAsia" w:ascii="宋体" w:hAnsi="宋体"/>
                <w:color w:val="000000"/>
                <w:kern w:val="0"/>
                <w:sz w:val="18"/>
                <w:szCs w:val="18"/>
              </w:rPr>
            </w:pPr>
          </w:p>
        </w:tc>
        <w:tc>
          <w:tcPr>
            <w:tcW w:w="2175" w:type="dxa"/>
            <w:vMerge w:val="continue"/>
            <w:noWrap w:val="0"/>
            <w:vAlign w:val="center"/>
          </w:tcPr>
          <w:p>
            <w:pPr>
              <w:widowControl/>
              <w:jc w:val="center"/>
              <w:textAlignment w:val="center"/>
              <w:rPr>
                <w:rFonts w:hint="eastAsia" w:ascii="宋体" w:hAnsi="宋体"/>
                <w:color w:val="000000"/>
                <w:sz w:val="18"/>
                <w:szCs w:val="18"/>
              </w:rPr>
            </w:pPr>
          </w:p>
        </w:tc>
        <w:tc>
          <w:tcPr>
            <w:tcW w:w="2191" w:type="dxa"/>
            <w:vMerge w:val="continue"/>
            <w:noWrap w:val="0"/>
            <w:vAlign w:val="center"/>
          </w:tcPr>
          <w:p>
            <w:pPr>
              <w:widowControl/>
              <w:jc w:val="center"/>
              <w:textAlignment w:val="center"/>
              <w:rPr>
                <w:rFonts w:hint="eastAsia" w:ascii="宋体" w:hAnsi="宋体"/>
                <w:color w:val="000000"/>
                <w:sz w:val="18"/>
                <w:szCs w:val="18"/>
              </w:rPr>
            </w:pPr>
          </w:p>
        </w:tc>
        <w:tc>
          <w:tcPr>
            <w:tcW w:w="1364" w:type="dxa"/>
            <w:vMerge w:val="restart"/>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940" w:type="dxa"/>
            <w:vMerge w:val="restart"/>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基本支出</w:t>
            </w:r>
          </w:p>
        </w:tc>
        <w:tc>
          <w:tcPr>
            <w:tcW w:w="6793" w:type="dxa"/>
            <w:gridSpan w:val="4"/>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blHeader/>
        </w:trPr>
        <w:tc>
          <w:tcPr>
            <w:tcW w:w="1844" w:type="dxa"/>
            <w:gridSpan w:val="5"/>
            <w:vMerge w:val="continue"/>
            <w:noWrap w:val="0"/>
            <w:vAlign w:val="center"/>
          </w:tcPr>
          <w:p>
            <w:pPr>
              <w:widowControl/>
              <w:jc w:val="center"/>
              <w:textAlignment w:val="center"/>
              <w:rPr>
                <w:rFonts w:hint="eastAsia" w:ascii="宋体" w:hAnsi="宋体"/>
                <w:color w:val="000000"/>
                <w:kern w:val="0"/>
                <w:sz w:val="18"/>
                <w:szCs w:val="18"/>
              </w:rPr>
            </w:pPr>
          </w:p>
        </w:tc>
        <w:tc>
          <w:tcPr>
            <w:tcW w:w="2175" w:type="dxa"/>
            <w:vMerge w:val="continue"/>
            <w:noWrap w:val="0"/>
            <w:vAlign w:val="center"/>
          </w:tcPr>
          <w:p>
            <w:pPr>
              <w:widowControl/>
              <w:jc w:val="center"/>
              <w:textAlignment w:val="center"/>
              <w:rPr>
                <w:rFonts w:hint="eastAsia" w:ascii="宋体" w:hAnsi="宋体"/>
                <w:color w:val="000000"/>
                <w:sz w:val="18"/>
                <w:szCs w:val="18"/>
              </w:rPr>
            </w:pPr>
          </w:p>
        </w:tc>
        <w:tc>
          <w:tcPr>
            <w:tcW w:w="2191" w:type="dxa"/>
            <w:vMerge w:val="continue"/>
            <w:noWrap w:val="0"/>
            <w:vAlign w:val="center"/>
          </w:tcPr>
          <w:p>
            <w:pPr>
              <w:widowControl/>
              <w:jc w:val="center"/>
              <w:textAlignment w:val="center"/>
              <w:rPr>
                <w:rFonts w:hint="eastAsia" w:ascii="宋体" w:hAnsi="宋体"/>
                <w:color w:val="000000"/>
                <w:sz w:val="18"/>
                <w:szCs w:val="18"/>
              </w:rPr>
            </w:pPr>
          </w:p>
        </w:tc>
        <w:tc>
          <w:tcPr>
            <w:tcW w:w="1364" w:type="dxa"/>
            <w:vMerge w:val="continue"/>
            <w:noWrap w:val="0"/>
            <w:vAlign w:val="center"/>
          </w:tcPr>
          <w:p>
            <w:pPr>
              <w:widowControl/>
              <w:jc w:val="center"/>
              <w:textAlignment w:val="center"/>
              <w:rPr>
                <w:rFonts w:hint="eastAsia" w:ascii="宋体" w:hAnsi="宋体"/>
                <w:color w:val="000000"/>
                <w:kern w:val="0"/>
                <w:sz w:val="18"/>
                <w:szCs w:val="18"/>
              </w:rPr>
            </w:pPr>
          </w:p>
        </w:tc>
        <w:tc>
          <w:tcPr>
            <w:tcW w:w="940" w:type="dxa"/>
            <w:vMerge w:val="continue"/>
            <w:noWrap w:val="0"/>
            <w:vAlign w:val="center"/>
          </w:tcPr>
          <w:p>
            <w:pPr>
              <w:widowControl/>
              <w:jc w:val="center"/>
              <w:textAlignment w:val="center"/>
              <w:rPr>
                <w:rFonts w:hint="eastAsia" w:ascii="宋体" w:hAnsi="宋体"/>
                <w:color w:val="000000"/>
                <w:kern w:val="0"/>
                <w:sz w:val="18"/>
                <w:szCs w:val="18"/>
              </w:rPr>
            </w:pPr>
          </w:p>
        </w:tc>
        <w:tc>
          <w:tcPr>
            <w:tcW w:w="1255" w:type="dxa"/>
            <w:vMerge w:val="restart"/>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sz w:val="18"/>
                <w:szCs w:val="18"/>
                <w:lang w:val="en-US" w:eastAsia="zh-CN"/>
              </w:rPr>
              <w:t>小计</w:t>
            </w:r>
          </w:p>
        </w:tc>
        <w:tc>
          <w:tcPr>
            <w:tcW w:w="5538" w:type="dxa"/>
            <w:gridSpan w:val="3"/>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trPr>
        <w:tc>
          <w:tcPr>
            <w:tcW w:w="1844" w:type="dxa"/>
            <w:gridSpan w:val="5"/>
            <w:vMerge w:val="continue"/>
            <w:noWrap w:val="0"/>
            <w:vAlign w:val="center"/>
          </w:tcPr>
          <w:p>
            <w:pPr>
              <w:widowControl/>
              <w:jc w:val="center"/>
              <w:textAlignment w:val="center"/>
              <w:rPr>
                <w:rFonts w:hint="eastAsia" w:ascii="宋体" w:hAnsi="宋体"/>
                <w:color w:val="000000"/>
                <w:kern w:val="0"/>
                <w:sz w:val="18"/>
                <w:szCs w:val="18"/>
              </w:rPr>
            </w:pPr>
          </w:p>
        </w:tc>
        <w:tc>
          <w:tcPr>
            <w:tcW w:w="2175" w:type="dxa"/>
            <w:vMerge w:val="continue"/>
            <w:noWrap w:val="0"/>
            <w:vAlign w:val="center"/>
          </w:tcPr>
          <w:p>
            <w:pPr>
              <w:widowControl/>
              <w:jc w:val="center"/>
              <w:textAlignment w:val="center"/>
              <w:rPr>
                <w:rFonts w:hint="eastAsia" w:ascii="宋体" w:hAnsi="宋体"/>
                <w:color w:val="000000"/>
                <w:sz w:val="18"/>
                <w:szCs w:val="18"/>
              </w:rPr>
            </w:pPr>
          </w:p>
        </w:tc>
        <w:tc>
          <w:tcPr>
            <w:tcW w:w="2191" w:type="dxa"/>
            <w:vMerge w:val="continue"/>
            <w:noWrap w:val="0"/>
            <w:vAlign w:val="center"/>
          </w:tcPr>
          <w:p>
            <w:pPr>
              <w:widowControl/>
              <w:jc w:val="center"/>
              <w:textAlignment w:val="center"/>
              <w:rPr>
                <w:rFonts w:hint="eastAsia" w:ascii="宋体" w:hAnsi="宋体"/>
                <w:color w:val="000000"/>
                <w:sz w:val="18"/>
                <w:szCs w:val="18"/>
              </w:rPr>
            </w:pPr>
          </w:p>
        </w:tc>
        <w:tc>
          <w:tcPr>
            <w:tcW w:w="1364" w:type="dxa"/>
            <w:vMerge w:val="continue"/>
            <w:noWrap w:val="0"/>
            <w:vAlign w:val="center"/>
          </w:tcPr>
          <w:p>
            <w:pPr>
              <w:widowControl/>
              <w:jc w:val="center"/>
              <w:textAlignment w:val="center"/>
              <w:rPr>
                <w:rFonts w:hint="eastAsia" w:ascii="宋体" w:hAnsi="宋体"/>
                <w:color w:val="000000"/>
                <w:kern w:val="0"/>
                <w:sz w:val="18"/>
                <w:szCs w:val="18"/>
              </w:rPr>
            </w:pPr>
          </w:p>
        </w:tc>
        <w:tc>
          <w:tcPr>
            <w:tcW w:w="940" w:type="dxa"/>
            <w:vMerge w:val="continue"/>
            <w:noWrap w:val="0"/>
            <w:vAlign w:val="center"/>
          </w:tcPr>
          <w:p>
            <w:pPr>
              <w:widowControl/>
              <w:jc w:val="center"/>
              <w:textAlignment w:val="center"/>
              <w:rPr>
                <w:rFonts w:hint="eastAsia" w:ascii="宋体" w:hAnsi="宋体"/>
                <w:color w:val="000000"/>
                <w:kern w:val="0"/>
                <w:sz w:val="18"/>
                <w:szCs w:val="18"/>
              </w:rPr>
            </w:pPr>
          </w:p>
        </w:tc>
        <w:tc>
          <w:tcPr>
            <w:tcW w:w="1255" w:type="dxa"/>
            <w:vMerge w:val="continue"/>
            <w:noWrap w:val="0"/>
            <w:vAlign w:val="center"/>
          </w:tcPr>
          <w:p>
            <w:pPr>
              <w:widowControl/>
              <w:jc w:val="center"/>
              <w:textAlignment w:val="center"/>
              <w:rPr>
                <w:rFonts w:hint="eastAsia" w:ascii="宋体" w:hAnsi="宋体"/>
                <w:color w:val="000000"/>
                <w:sz w:val="18"/>
                <w:szCs w:val="18"/>
                <w:lang w:val="en-US" w:eastAsia="zh-CN"/>
              </w:rPr>
            </w:pPr>
          </w:p>
        </w:tc>
        <w:tc>
          <w:tcPr>
            <w:tcW w:w="2032" w:type="dxa"/>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事业单位经营支出</w:t>
            </w:r>
          </w:p>
        </w:tc>
        <w:tc>
          <w:tcPr>
            <w:tcW w:w="1513" w:type="dxa"/>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上缴上级支出</w:t>
            </w:r>
          </w:p>
        </w:tc>
        <w:tc>
          <w:tcPr>
            <w:tcW w:w="1993" w:type="dxa"/>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sz w:val="18"/>
                <w:szCs w:val="18"/>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blHeader/>
        </w:trPr>
        <w:tc>
          <w:tcPr>
            <w:tcW w:w="614" w:type="dxa"/>
            <w:gridSpan w:val="2"/>
            <w:tcBorders>
              <w:top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w:t>
            </w:r>
          </w:p>
        </w:tc>
        <w:tc>
          <w:tcPr>
            <w:tcW w:w="614" w:type="dxa"/>
            <w:gridSpan w:val="2"/>
            <w:tcBorders>
              <w:top w:val="single" w:color="auto" w:sz="4" w:space="0"/>
            </w:tcBorders>
            <w:noWrap w:val="0"/>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16" w:type="dxa"/>
            <w:tcBorders>
              <w:top w:val="single" w:color="auto" w:sz="4" w:space="0"/>
            </w:tcBorders>
            <w:noWrap w:val="0"/>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175" w:type="dxa"/>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w:t>
            </w:r>
          </w:p>
        </w:tc>
        <w:tc>
          <w:tcPr>
            <w:tcW w:w="2191" w:type="dxa"/>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w:t>
            </w:r>
          </w:p>
        </w:tc>
        <w:tc>
          <w:tcPr>
            <w:tcW w:w="1364" w:type="dxa"/>
            <w:tcBorders>
              <w:top w:val="single" w:color="auto" w:sz="4" w:space="0"/>
            </w:tcBorders>
            <w:noWrap w:val="0"/>
            <w:vAlign w:val="center"/>
          </w:tcPr>
          <w:p>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1</w:t>
            </w:r>
          </w:p>
        </w:tc>
        <w:tc>
          <w:tcPr>
            <w:tcW w:w="940" w:type="dxa"/>
            <w:tcBorders>
              <w:top w:val="single" w:color="auto" w:sz="4" w:space="0"/>
            </w:tcBorders>
            <w:noWrap w:val="0"/>
            <w:vAlign w:val="center"/>
          </w:tcPr>
          <w:p>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2</w:t>
            </w:r>
          </w:p>
        </w:tc>
        <w:tc>
          <w:tcPr>
            <w:tcW w:w="1255" w:type="dxa"/>
            <w:tcBorders>
              <w:top w:val="single" w:color="auto" w:sz="4" w:space="0"/>
            </w:tcBorders>
            <w:noWrap w:val="0"/>
            <w:vAlign w:val="center"/>
          </w:tcPr>
          <w:p>
            <w:pPr>
              <w:widowControl/>
              <w:jc w:val="center"/>
              <w:textAlignment w:val="center"/>
              <w:rPr>
                <w:rFonts w:hint="default" w:ascii="宋体" w:hAnsi="宋体"/>
                <w:color w:val="000000"/>
                <w:sz w:val="18"/>
                <w:szCs w:val="18"/>
                <w:lang w:val="en-US" w:eastAsia="zh-CN"/>
              </w:rPr>
            </w:pPr>
            <w:r>
              <w:rPr>
                <w:rFonts w:hint="eastAsia" w:ascii="宋体" w:hAnsi="宋体"/>
                <w:color w:val="000000"/>
                <w:sz w:val="18"/>
                <w:szCs w:val="18"/>
                <w:lang w:val="en-US" w:eastAsia="zh-CN"/>
              </w:rPr>
              <w:t>3</w:t>
            </w:r>
          </w:p>
        </w:tc>
        <w:tc>
          <w:tcPr>
            <w:tcW w:w="2032" w:type="dxa"/>
            <w:tcBorders>
              <w:top w:val="single" w:color="auto" w:sz="4" w:space="0"/>
            </w:tcBorders>
            <w:noWrap w:val="0"/>
            <w:vAlign w:val="center"/>
          </w:tcPr>
          <w:p>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4</w:t>
            </w:r>
          </w:p>
        </w:tc>
        <w:tc>
          <w:tcPr>
            <w:tcW w:w="1513" w:type="dxa"/>
            <w:tcBorders>
              <w:top w:val="single" w:color="auto" w:sz="4" w:space="0"/>
            </w:tcBorders>
            <w:noWrap w:val="0"/>
            <w:vAlign w:val="center"/>
          </w:tcPr>
          <w:p>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5</w:t>
            </w:r>
          </w:p>
        </w:tc>
        <w:tc>
          <w:tcPr>
            <w:tcW w:w="1993" w:type="dxa"/>
            <w:tcBorders>
              <w:top w:val="single" w:color="auto" w:sz="4" w:space="0"/>
            </w:tcBorders>
            <w:noWrap w:val="0"/>
            <w:vAlign w:val="center"/>
          </w:tcPr>
          <w:p>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p>
        </w:tc>
        <w:tc>
          <w:tcPr>
            <w:tcW w:w="612" w:type="dxa"/>
            <w:gridSpan w:val="2"/>
            <w:noWrap w:val="0"/>
            <w:vAlign w:val="center"/>
          </w:tcPr>
          <w:p>
            <w:pPr>
              <w:widowControl/>
              <w:textAlignment w:val="center"/>
              <w:rPr>
                <w:rFonts w:hint="eastAsia" w:ascii="宋体" w:hAnsi="宋体"/>
                <w:color w:val="000000"/>
                <w:sz w:val="18"/>
                <w:szCs w:val="18"/>
              </w:rPr>
            </w:pPr>
          </w:p>
        </w:tc>
        <w:tc>
          <w:tcPr>
            <w:tcW w:w="620" w:type="dxa"/>
            <w:gridSpan w:val="2"/>
            <w:noWrap w:val="0"/>
            <w:vAlign w:val="center"/>
          </w:tcPr>
          <w:p>
            <w:pPr>
              <w:widowControl/>
              <w:textAlignment w:val="center"/>
              <w:rPr>
                <w:rFonts w:hint="eastAsia" w:ascii="宋体" w:hAnsi="宋体"/>
                <w:color w:val="000000"/>
                <w:sz w:val="18"/>
                <w:szCs w:val="18"/>
              </w:rPr>
            </w:pP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合计</w:t>
            </w:r>
          </w:p>
        </w:tc>
        <w:tc>
          <w:tcPr>
            <w:tcW w:w="1364" w:type="dxa"/>
            <w:noWrap w:val="0"/>
            <w:vAlign w:val="center"/>
          </w:tcPr>
          <w:p>
            <w:pPr>
              <w:jc w:val="right"/>
              <w:rPr>
                <w:sz w:val="18"/>
                <w:szCs w:val="18"/>
              </w:rPr>
            </w:pPr>
            <w:r>
              <w:rPr>
                <w:rFonts w:hint="eastAsia" w:ascii="宋体" w:hAnsi="宋体"/>
                <w:color w:val="000000"/>
                <w:sz w:val="18"/>
                <w:szCs w:val="18"/>
              </w:rPr>
              <w:t>536.93</w:t>
            </w:r>
          </w:p>
        </w:tc>
        <w:tc>
          <w:tcPr>
            <w:tcW w:w="940" w:type="dxa"/>
            <w:noWrap w:val="0"/>
            <w:vAlign w:val="center"/>
          </w:tcPr>
          <w:p>
            <w:pPr>
              <w:jc w:val="right"/>
              <w:rPr>
                <w:sz w:val="18"/>
                <w:szCs w:val="18"/>
              </w:rPr>
            </w:pPr>
            <w:r>
              <w:rPr>
                <w:rFonts w:hint="eastAsia" w:ascii="宋体" w:hAnsi="宋体"/>
                <w:color w:val="000000"/>
                <w:sz w:val="18"/>
                <w:szCs w:val="18"/>
              </w:rPr>
              <w:t>393.45</w:t>
            </w:r>
          </w:p>
        </w:tc>
        <w:tc>
          <w:tcPr>
            <w:tcW w:w="1255" w:type="dxa"/>
            <w:noWrap w:val="0"/>
            <w:vAlign w:val="center"/>
          </w:tcPr>
          <w:p>
            <w:pPr>
              <w:jc w:val="right"/>
              <w:rPr>
                <w:sz w:val="18"/>
                <w:szCs w:val="18"/>
              </w:rPr>
            </w:pPr>
            <w:r>
              <w:rPr>
                <w:rFonts w:hint="eastAsia" w:ascii="宋体" w:hAnsi="宋体"/>
                <w:color w:val="000000"/>
                <w:sz w:val="18"/>
                <w:szCs w:val="18"/>
              </w:rPr>
              <w:t>143.48</w:t>
            </w: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p>
        </w:tc>
        <w:tc>
          <w:tcPr>
            <w:tcW w:w="612" w:type="dxa"/>
            <w:gridSpan w:val="2"/>
            <w:noWrap w:val="0"/>
            <w:vAlign w:val="center"/>
          </w:tcPr>
          <w:p>
            <w:pPr>
              <w:widowControl/>
              <w:textAlignment w:val="center"/>
              <w:rPr>
                <w:rFonts w:hint="eastAsia" w:ascii="宋体" w:hAnsi="宋体"/>
                <w:color w:val="000000"/>
                <w:sz w:val="18"/>
                <w:szCs w:val="18"/>
              </w:rPr>
            </w:pPr>
          </w:p>
        </w:tc>
        <w:tc>
          <w:tcPr>
            <w:tcW w:w="620" w:type="dxa"/>
            <w:gridSpan w:val="2"/>
            <w:noWrap w:val="0"/>
            <w:vAlign w:val="center"/>
          </w:tcPr>
          <w:p>
            <w:pPr>
              <w:widowControl/>
              <w:textAlignment w:val="center"/>
              <w:rPr>
                <w:rFonts w:hint="eastAsia" w:ascii="宋体" w:hAnsi="宋体"/>
                <w:color w:val="000000"/>
                <w:sz w:val="18"/>
                <w:szCs w:val="18"/>
              </w:rPr>
            </w:pPr>
          </w:p>
        </w:tc>
        <w:tc>
          <w:tcPr>
            <w:tcW w:w="2175" w:type="dxa"/>
            <w:noWrap w:val="0"/>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126</w:t>
            </w: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百色市信访局</w:t>
            </w:r>
          </w:p>
        </w:tc>
        <w:tc>
          <w:tcPr>
            <w:tcW w:w="1364" w:type="dxa"/>
            <w:noWrap w:val="0"/>
            <w:vAlign w:val="center"/>
          </w:tcPr>
          <w:p>
            <w:pPr>
              <w:jc w:val="right"/>
              <w:rPr>
                <w:sz w:val="18"/>
                <w:szCs w:val="18"/>
              </w:rPr>
            </w:pPr>
            <w:r>
              <w:rPr>
                <w:rFonts w:hint="eastAsia" w:ascii="宋体" w:hAnsi="宋体"/>
                <w:color w:val="000000"/>
                <w:sz w:val="18"/>
                <w:szCs w:val="18"/>
              </w:rPr>
              <w:t>536.93</w:t>
            </w:r>
          </w:p>
        </w:tc>
        <w:tc>
          <w:tcPr>
            <w:tcW w:w="940" w:type="dxa"/>
            <w:noWrap w:val="0"/>
            <w:vAlign w:val="center"/>
          </w:tcPr>
          <w:p>
            <w:pPr>
              <w:jc w:val="right"/>
              <w:rPr>
                <w:sz w:val="18"/>
                <w:szCs w:val="18"/>
              </w:rPr>
            </w:pPr>
            <w:r>
              <w:rPr>
                <w:rFonts w:hint="eastAsia" w:ascii="宋体" w:hAnsi="宋体"/>
                <w:color w:val="000000"/>
                <w:sz w:val="18"/>
                <w:szCs w:val="18"/>
              </w:rPr>
              <w:t>393.45</w:t>
            </w:r>
          </w:p>
        </w:tc>
        <w:tc>
          <w:tcPr>
            <w:tcW w:w="1255" w:type="dxa"/>
            <w:noWrap w:val="0"/>
            <w:vAlign w:val="center"/>
          </w:tcPr>
          <w:p>
            <w:pPr>
              <w:jc w:val="right"/>
              <w:rPr>
                <w:sz w:val="18"/>
                <w:szCs w:val="18"/>
              </w:rPr>
            </w:pPr>
            <w:r>
              <w:rPr>
                <w:rFonts w:hint="eastAsia" w:ascii="宋体" w:hAnsi="宋体"/>
                <w:color w:val="000000"/>
                <w:sz w:val="18"/>
                <w:szCs w:val="18"/>
              </w:rPr>
              <w:t>143.48</w:t>
            </w: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p>
        </w:tc>
        <w:tc>
          <w:tcPr>
            <w:tcW w:w="612" w:type="dxa"/>
            <w:gridSpan w:val="2"/>
            <w:noWrap w:val="0"/>
            <w:vAlign w:val="center"/>
          </w:tcPr>
          <w:p>
            <w:pPr>
              <w:widowControl/>
              <w:textAlignment w:val="center"/>
              <w:rPr>
                <w:rFonts w:hint="eastAsia" w:ascii="宋体" w:hAnsi="宋体"/>
                <w:color w:val="000000"/>
                <w:sz w:val="18"/>
                <w:szCs w:val="18"/>
              </w:rPr>
            </w:pPr>
          </w:p>
        </w:tc>
        <w:tc>
          <w:tcPr>
            <w:tcW w:w="620" w:type="dxa"/>
            <w:gridSpan w:val="2"/>
            <w:noWrap w:val="0"/>
            <w:vAlign w:val="center"/>
          </w:tcPr>
          <w:p>
            <w:pPr>
              <w:widowControl/>
              <w:textAlignment w:val="center"/>
              <w:rPr>
                <w:rFonts w:hint="eastAsia" w:ascii="宋体" w:hAnsi="宋体"/>
                <w:color w:val="000000"/>
                <w:sz w:val="18"/>
                <w:szCs w:val="18"/>
              </w:rPr>
            </w:pPr>
          </w:p>
        </w:tc>
        <w:tc>
          <w:tcPr>
            <w:tcW w:w="2175" w:type="dxa"/>
            <w:noWrap w:val="0"/>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126001</w:t>
            </w: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百色市信访局</w:t>
            </w:r>
          </w:p>
        </w:tc>
        <w:tc>
          <w:tcPr>
            <w:tcW w:w="1364" w:type="dxa"/>
            <w:noWrap w:val="0"/>
            <w:vAlign w:val="center"/>
          </w:tcPr>
          <w:p>
            <w:pPr>
              <w:jc w:val="right"/>
              <w:rPr>
                <w:sz w:val="18"/>
                <w:szCs w:val="18"/>
              </w:rPr>
            </w:pPr>
            <w:r>
              <w:rPr>
                <w:rFonts w:hint="eastAsia" w:ascii="宋体" w:hAnsi="宋体"/>
                <w:color w:val="000000"/>
                <w:sz w:val="18"/>
                <w:szCs w:val="18"/>
              </w:rPr>
              <w:t>391.05</w:t>
            </w:r>
          </w:p>
        </w:tc>
        <w:tc>
          <w:tcPr>
            <w:tcW w:w="940" w:type="dxa"/>
            <w:noWrap w:val="0"/>
            <w:vAlign w:val="center"/>
          </w:tcPr>
          <w:p>
            <w:pPr>
              <w:jc w:val="right"/>
              <w:rPr>
                <w:sz w:val="18"/>
                <w:szCs w:val="18"/>
              </w:rPr>
            </w:pPr>
            <w:r>
              <w:rPr>
                <w:rFonts w:hint="eastAsia" w:ascii="宋体" w:hAnsi="宋体"/>
                <w:color w:val="000000"/>
                <w:sz w:val="18"/>
                <w:szCs w:val="18"/>
              </w:rPr>
              <w:t>247.57</w:t>
            </w:r>
          </w:p>
        </w:tc>
        <w:tc>
          <w:tcPr>
            <w:tcW w:w="1255" w:type="dxa"/>
            <w:noWrap w:val="0"/>
            <w:vAlign w:val="center"/>
          </w:tcPr>
          <w:p>
            <w:pPr>
              <w:jc w:val="right"/>
              <w:rPr>
                <w:sz w:val="18"/>
                <w:szCs w:val="18"/>
              </w:rPr>
            </w:pPr>
            <w:r>
              <w:rPr>
                <w:rFonts w:hint="eastAsia" w:ascii="宋体" w:hAnsi="宋体"/>
                <w:color w:val="000000"/>
                <w:sz w:val="18"/>
                <w:szCs w:val="18"/>
              </w:rPr>
              <w:t>143.48</w:t>
            </w: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201</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36</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99</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其他共产党事务支出</w:t>
            </w:r>
          </w:p>
        </w:tc>
        <w:tc>
          <w:tcPr>
            <w:tcW w:w="1364" w:type="dxa"/>
            <w:noWrap w:val="0"/>
            <w:vAlign w:val="center"/>
          </w:tcPr>
          <w:p>
            <w:pPr>
              <w:jc w:val="right"/>
              <w:rPr>
                <w:sz w:val="18"/>
                <w:szCs w:val="18"/>
              </w:rPr>
            </w:pPr>
            <w:r>
              <w:rPr>
                <w:rFonts w:hint="eastAsia" w:ascii="宋体" w:hAnsi="宋体"/>
                <w:color w:val="000000"/>
                <w:sz w:val="18"/>
                <w:szCs w:val="18"/>
              </w:rPr>
              <w:t>0.7</w:t>
            </w:r>
          </w:p>
        </w:tc>
        <w:tc>
          <w:tcPr>
            <w:tcW w:w="940" w:type="dxa"/>
            <w:noWrap w:val="0"/>
            <w:vAlign w:val="center"/>
          </w:tcPr>
          <w:p>
            <w:pPr>
              <w:jc w:val="right"/>
              <w:rPr>
                <w:sz w:val="18"/>
                <w:szCs w:val="18"/>
              </w:rPr>
            </w:pPr>
          </w:p>
        </w:tc>
        <w:tc>
          <w:tcPr>
            <w:tcW w:w="1255" w:type="dxa"/>
            <w:noWrap w:val="0"/>
            <w:vAlign w:val="center"/>
          </w:tcPr>
          <w:p>
            <w:pPr>
              <w:jc w:val="right"/>
              <w:rPr>
                <w:sz w:val="18"/>
                <w:szCs w:val="18"/>
              </w:rPr>
            </w:pPr>
            <w:r>
              <w:rPr>
                <w:rFonts w:hint="eastAsia" w:ascii="宋体" w:hAnsi="宋体"/>
                <w:color w:val="000000"/>
                <w:sz w:val="18"/>
                <w:szCs w:val="18"/>
              </w:rPr>
              <w:t>0.7</w:t>
            </w: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201</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40</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行政运行</w:t>
            </w:r>
          </w:p>
        </w:tc>
        <w:tc>
          <w:tcPr>
            <w:tcW w:w="1364" w:type="dxa"/>
            <w:noWrap w:val="0"/>
            <w:vAlign w:val="center"/>
          </w:tcPr>
          <w:p>
            <w:pPr>
              <w:jc w:val="right"/>
              <w:rPr>
                <w:sz w:val="18"/>
                <w:szCs w:val="18"/>
              </w:rPr>
            </w:pPr>
            <w:r>
              <w:rPr>
                <w:rFonts w:hint="eastAsia" w:ascii="宋体" w:hAnsi="宋体"/>
                <w:color w:val="000000"/>
                <w:sz w:val="18"/>
                <w:szCs w:val="18"/>
              </w:rPr>
              <w:t>180.57</w:t>
            </w:r>
          </w:p>
        </w:tc>
        <w:tc>
          <w:tcPr>
            <w:tcW w:w="940" w:type="dxa"/>
            <w:noWrap w:val="0"/>
            <w:vAlign w:val="center"/>
          </w:tcPr>
          <w:p>
            <w:pPr>
              <w:jc w:val="right"/>
              <w:rPr>
                <w:sz w:val="18"/>
                <w:szCs w:val="18"/>
              </w:rPr>
            </w:pPr>
            <w:r>
              <w:rPr>
                <w:rFonts w:hint="eastAsia" w:ascii="宋体" w:hAnsi="宋体"/>
                <w:color w:val="000000"/>
                <w:sz w:val="18"/>
                <w:szCs w:val="18"/>
              </w:rPr>
              <w:t>180.57</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201</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40</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一般行政管理事务</w:t>
            </w:r>
          </w:p>
        </w:tc>
        <w:tc>
          <w:tcPr>
            <w:tcW w:w="1364" w:type="dxa"/>
            <w:noWrap w:val="0"/>
            <w:vAlign w:val="center"/>
          </w:tcPr>
          <w:p>
            <w:pPr>
              <w:jc w:val="right"/>
              <w:rPr>
                <w:sz w:val="18"/>
                <w:szCs w:val="18"/>
              </w:rPr>
            </w:pPr>
            <w:r>
              <w:rPr>
                <w:rFonts w:hint="eastAsia" w:ascii="宋体" w:hAnsi="宋体"/>
                <w:color w:val="000000"/>
                <w:sz w:val="18"/>
                <w:szCs w:val="18"/>
              </w:rPr>
              <w:t>18</w:t>
            </w:r>
          </w:p>
        </w:tc>
        <w:tc>
          <w:tcPr>
            <w:tcW w:w="940" w:type="dxa"/>
            <w:noWrap w:val="0"/>
            <w:vAlign w:val="center"/>
          </w:tcPr>
          <w:p>
            <w:pPr>
              <w:jc w:val="right"/>
              <w:rPr>
                <w:sz w:val="18"/>
                <w:szCs w:val="18"/>
              </w:rPr>
            </w:pPr>
          </w:p>
        </w:tc>
        <w:tc>
          <w:tcPr>
            <w:tcW w:w="1255" w:type="dxa"/>
            <w:noWrap w:val="0"/>
            <w:vAlign w:val="center"/>
          </w:tcPr>
          <w:p>
            <w:pPr>
              <w:jc w:val="right"/>
              <w:rPr>
                <w:sz w:val="18"/>
                <w:szCs w:val="18"/>
              </w:rPr>
            </w:pPr>
            <w:r>
              <w:rPr>
                <w:rFonts w:hint="eastAsia" w:ascii="宋体" w:hAnsi="宋体"/>
                <w:color w:val="000000"/>
                <w:sz w:val="18"/>
                <w:szCs w:val="18"/>
              </w:rPr>
              <w:t>18</w:t>
            </w: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201</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40</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04</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信访业务</w:t>
            </w:r>
          </w:p>
        </w:tc>
        <w:tc>
          <w:tcPr>
            <w:tcW w:w="1364" w:type="dxa"/>
            <w:noWrap w:val="0"/>
            <w:vAlign w:val="center"/>
          </w:tcPr>
          <w:p>
            <w:pPr>
              <w:jc w:val="right"/>
              <w:rPr>
                <w:sz w:val="18"/>
                <w:szCs w:val="18"/>
              </w:rPr>
            </w:pPr>
            <w:r>
              <w:rPr>
                <w:rFonts w:hint="eastAsia" w:ascii="宋体" w:hAnsi="宋体"/>
                <w:color w:val="000000"/>
                <w:sz w:val="18"/>
                <w:szCs w:val="18"/>
              </w:rPr>
              <w:t>124.78</w:t>
            </w:r>
          </w:p>
        </w:tc>
        <w:tc>
          <w:tcPr>
            <w:tcW w:w="940" w:type="dxa"/>
            <w:noWrap w:val="0"/>
            <w:vAlign w:val="center"/>
          </w:tcPr>
          <w:p>
            <w:pPr>
              <w:jc w:val="right"/>
              <w:rPr>
                <w:sz w:val="18"/>
                <w:szCs w:val="18"/>
              </w:rPr>
            </w:pPr>
          </w:p>
        </w:tc>
        <w:tc>
          <w:tcPr>
            <w:tcW w:w="1255" w:type="dxa"/>
            <w:noWrap w:val="0"/>
            <w:vAlign w:val="center"/>
          </w:tcPr>
          <w:p>
            <w:pPr>
              <w:jc w:val="right"/>
              <w:rPr>
                <w:sz w:val="18"/>
                <w:szCs w:val="18"/>
              </w:rPr>
            </w:pPr>
            <w:r>
              <w:rPr>
                <w:rFonts w:hint="eastAsia" w:ascii="宋体" w:hAnsi="宋体"/>
                <w:color w:val="000000"/>
                <w:sz w:val="18"/>
                <w:szCs w:val="18"/>
              </w:rPr>
              <w:t>124.78</w:t>
            </w: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行政单位离退休</w:t>
            </w:r>
          </w:p>
        </w:tc>
        <w:tc>
          <w:tcPr>
            <w:tcW w:w="1364" w:type="dxa"/>
            <w:noWrap w:val="0"/>
            <w:vAlign w:val="center"/>
          </w:tcPr>
          <w:p>
            <w:pPr>
              <w:jc w:val="right"/>
              <w:rPr>
                <w:sz w:val="18"/>
                <w:szCs w:val="18"/>
              </w:rPr>
            </w:pPr>
            <w:r>
              <w:rPr>
                <w:rFonts w:hint="eastAsia" w:ascii="宋体" w:hAnsi="宋体"/>
                <w:color w:val="000000"/>
                <w:sz w:val="18"/>
                <w:szCs w:val="18"/>
              </w:rPr>
              <w:t>5.17</w:t>
            </w:r>
          </w:p>
        </w:tc>
        <w:tc>
          <w:tcPr>
            <w:tcW w:w="940" w:type="dxa"/>
            <w:noWrap w:val="0"/>
            <w:vAlign w:val="center"/>
          </w:tcPr>
          <w:p>
            <w:pPr>
              <w:jc w:val="right"/>
              <w:rPr>
                <w:sz w:val="18"/>
                <w:szCs w:val="18"/>
              </w:rPr>
            </w:pPr>
            <w:r>
              <w:rPr>
                <w:rFonts w:hint="eastAsia" w:ascii="宋体" w:hAnsi="宋体"/>
                <w:color w:val="000000"/>
                <w:sz w:val="18"/>
                <w:szCs w:val="18"/>
              </w:rPr>
              <w:t>5.17</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机关事业单位基本养老保险缴费支出</w:t>
            </w:r>
          </w:p>
        </w:tc>
        <w:tc>
          <w:tcPr>
            <w:tcW w:w="1364" w:type="dxa"/>
            <w:noWrap w:val="0"/>
            <w:vAlign w:val="center"/>
          </w:tcPr>
          <w:p>
            <w:pPr>
              <w:jc w:val="right"/>
              <w:rPr>
                <w:sz w:val="18"/>
                <w:szCs w:val="18"/>
              </w:rPr>
            </w:pPr>
            <w:r>
              <w:rPr>
                <w:rFonts w:hint="eastAsia" w:ascii="宋体" w:hAnsi="宋体"/>
                <w:color w:val="000000"/>
                <w:sz w:val="18"/>
                <w:szCs w:val="18"/>
              </w:rPr>
              <w:t>21.18</w:t>
            </w:r>
          </w:p>
        </w:tc>
        <w:tc>
          <w:tcPr>
            <w:tcW w:w="940" w:type="dxa"/>
            <w:noWrap w:val="0"/>
            <w:vAlign w:val="center"/>
          </w:tcPr>
          <w:p>
            <w:pPr>
              <w:jc w:val="right"/>
              <w:rPr>
                <w:sz w:val="18"/>
                <w:szCs w:val="18"/>
              </w:rPr>
            </w:pPr>
            <w:r>
              <w:rPr>
                <w:rFonts w:hint="eastAsia" w:ascii="宋体" w:hAnsi="宋体"/>
                <w:color w:val="000000"/>
                <w:sz w:val="18"/>
                <w:szCs w:val="18"/>
              </w:rPr>
              <w:t>21.18</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06</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机关事业单位职业年金缴费支出</w:t>
            </w:r>
          </w:p>
        </w:tc>
        <w:tc>
          <w:tcPr>
            <w:tcW w:w="1364" w:type="dxa"/>
            <w:noWrap w:val="0"/>
            <w:vAlign w:val="center"/>
          </w:tcPr>
          <w:p>
            <w:pPr>
              <w:jc w:val="right"/>
              <w:rPr>
                <w:sz w:val="18"/>
                <w:szCs w:val="18"/>
              </w:rPr>
            </w:pPr>
            <w:r>
              <w:rPr>
                <w:rFonts w:hint="eastAsia" w:ascii="宋体" w:hAnsi="宋体"/>
                <w:color w:val="000000"/>
                <w:sz w:val="18"/>
                <w:szCs w:val="18"/>
              </w:rPr>
              <w:t>11.69</w:t>
            </w:r>
          </w:p>
        </w:tc>
        <w:tc>
          <w:tcPr>
            <w:tcW w:w="940" w:type="dxa"/>
            <w:noWrap w:val="0"/>
            <w:vAlign w:val="center"/>
          </w:tcPr>
          <w:p>
            <w:pPr>
              <w:jc w:val="right"/>
              <w:rPr>
                <w:sz w:val="18"/>
                <w:szCs w:val="18"/>
              </w:rPr>
            </w:pPr>
            <w:r>
              <w:rPr>
                <w:rFonts w:hint="eastAsia" w:ascii="宋体" w:hAnsi="宋体"/>
                <w:color w:val="000000"/>
                <w:sz w:val="18"/>
                <w:szCs w:val="18"/>
              </w:rPr>
              <w:t>11.69</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210</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11</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行政单位医疗</w:t>
            </w:r>
          </w:p>
        </w:tc>
        <w:tc>
          <w:tcPr>
            <w:tcW w:w="1364" w:type="dxa"/>
            <w:noWrap w:val="0"/>
            <w:vAlign w:val="center"/>
          </w:tcPr>
          <w:p>
            <w:pPr>
              <w:jc w:val="right"/>
              <w:rPr>
                <w:sz w:val="18"/>
                <w:szCs w:val="18"/>
              </w:rPr>
            </w:pPr>
            <w:r>
              <w:rPr>
                <w:rFonts w:hint="eastAsia" w:ascii="宋体" w:hAnsi="宋体"/>
                <w:color w:val="000000"/>
                <w:sz w:val="18"/>
                <w:szCs w:val="18"/>
              </w:rPr>
              <w:t>7.43</w:t>
            </w:r>
          </w:p>
        </w:tc>
        <w:tc>
          <w:tcPr>
            <w:tcW w:w="940" w:type="dxa"/>
            <w:noWrap w:val="0"/>
            <w:vAlign w:val="center"/>
          </w:tcPr>
          <w:p>
            <w:pPr>
              <w:jc w:val="right"/>
              <w:rPr>
                <w:sz w:val="18"/>
                <w:szCs w:val="18"/>
              </w:rPr>
            </w:pPr>
            <w:r>
              <w:rPr>
                <w:rFonts w:hint="eastAsia" w:ascii="宋体" w:hAnsi="宋体"/>
                <w:color w:val="000000"/>
                <w:sz w:val="18"/>
                <w:szCs w:val="18"/>
              </w:rPr>
              <w:t>7.43</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210</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11</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03</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公务员医疗补助</w:t>
            </w:r>
          </w:p>
        </w:tc>
        <w:tc>
          <w:tcPr>
            <w:tcW w:w="1364" w:type="dxa"/>
            <w:noWrap w:val="0"/>
            <w:vAlign w:val="center"/>
          </w:tcPr>
          <w:p>
            <w:pPr>
              <w:jc w:val="right"/>
              <w:rPr>
                <w:sz w:val="18"/>
                <w:szCs w:val="18"/>
              </w:rPr>
            </w:pPr>
            <w:r>
              <w:rPr>
                <w:rFonts w:hint="eastAsia" w:ascii="宋体" w:hAnsi="宋体"/>
                <w:color w:val="000000"/>
                <w:sz w:val="18"/>
                <w:szCs w:val="18"/>
              </w:rPr>
              <w:t>3.99</w:t>
            </w:r>
          </w:p>
        </w:tc>
        <w:tc>
          <w:tcPr>
            <w:tcW w:w="940" w:type="dxa"/>
            <w:noWrap w:val="0"/>
            <w:vAlign w:val="center"/>
          </w:tcPr>
          <w:p>
            <w:pPr>
              <w:jc w:val="right"/>
              <w:rPr>
                <w:sz w:val="18"/>
                <w:szCs w:val="18"/>
              </w:rPr>
            </w:pPr>
            <w:r>
              <w:rPr>
                <w:rFonts w:hint="eastAsia" w:ascii="宋体" w:hAnsi="宋体"/>
                <w:color w:val="000000"/>
                <w:sz w:val="18"/>
                <w:szCs w:val="18"/>
              </w:rPr>
              <w:t>3.99</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221</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住房公积金</w:t>
            </w:r>
          </w:p>
        </w:tc>
        <w:tc>
          <w:tcPr>
            <w:tcW w:w="1364" w:type="dxa"/>
            <w:noWrap w:val="0"/>
            <w:vAlign w:val="center"/>
          </w:tcPr>
          <w:p>
            <w:pPr>
              <w:jc w:val="right"/>
              <w:rPr>
                <w:sz w:val="18"/>
                <w:szCs w:val="18"/>
              </w:rPr>
            </w:pPr>
            <w:r>
              <w:rPr>
                <w:rFonts w:hint="eastAsia" w:ascii="宋体" w:hAnsi="宋体"/>
                <w:color w:val="000000"/>
                <w:sz w:val="18"/>
                <w:szCs w:val="18"/>
              </w:rPr>
              <w:t>17.54</w:t>
            </w:r>
          </w:p>
        </w:tc>
        <w:tc>
          <w:tcPr>
            <w:tcW w:w="940" w:type="dxa"/>
            <w:noWrap w:val="0"/>
            <w:vAlign w:val="center"/>
          </w:tcPr>
          <w:p>
            <w:pPr>
              <w:jc w:val="right"/>
              <w:rPr>
                <w:sz w:val="18"/>
                <w:szCs w:val="18"/>
              </w:rPr>
            </w:pPr>
            <w:r>
              <w:rPr>
                <w:rFonts w:hint="eastAsia" w:ascii="宋体" w:hAnsi="宋体"/>
                <w:color w:val="000000"/>
                <w:sz w:val="18"/>
                <w:szCs w:val="18"/>
              </w:rPr>
              <w:t>17.54</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p>
        </w:tc>
        <w:tc>
          <w:tcPr>
            <w:tcW w:w="612" w:type="dxa"/>
            <w:gridSpan w:val="2"/>
            <w:noWrap w:val="0"/>
            <w:vAlign w:val="center"/>
          </w:tcPr>
          <w:p>
            <w:pPr>
              <w:widowControl/>
              <w:textAlignment w:val="center"/>
              <w:rPr>
                <w:rFonts w:hint="eastAsia" w:ascii="宋体" w:hAnsi="宋体"/>
                <w:color w:val="000000"/>
                <w:sz w:val="18"/>
                <w:szCs w:val="18"/>
              </w:rPr>
            </w:pPr>
          </w:p>
        </w:tc>
        <w:tc>
          <w:tcPr>
            <w:tcW w:w="620" w:type="dxa"/>
            <w:gridSpan w:val="2"/>
            <w:noWrap w:val="0"/>
            <w:vAlign w:val="center"/>
          </w:tcPr>
          <w:p>
            <w:pPr>
              <w:widowControl/>
              <w:textAlignment w:val="center"/>
              <w:rPr>
                <w:rFonts w:hint="eastAsia" w:ascii="宋体" w:hAnsi="宋体"/>
                <w:color w:val="000000"/>
                <w:sz w:val="18"/>
                <w:szCs w:val="18"/>
              </w:rPr>
            </w:pPr>
          </w:p>
        </w:tc>
        <w:tc>
          <w:tcPr>
            <w:tcW w:w="2175" w:type="dxa"/>
            <w:noWrap w:val="0"/>
            <w:vAlign w:val="center"/>
          </w:tcPr>
          <w:p>
            <w:pPr>
              <w:widowControl/>
              <w:jc w:val="left"/>
              <w:textAlignment w:val="center"/>
              <w:rPr>
                <w:rFonts w:ascii="宋体" w:hAnsi="宋体"/>
                <w:color w:val="000000"/>
                <w:sz w:val="18"/>
                <w:szCs w:val="18"/>
              </w:rPr>
            </w:pPr>
            <w:r>
              <w:rPr>
                <w:rFonts w:hint="eastAsia" w:ascii="宋体" w:hAnsi="宋体"/>
                <w:color w:val="000000"/>
                <w:sz w:val="18"/>
                <w:szCs w:val="18"/>
              </w:rPr>
              <w:t>126002</w:t>
            </w: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百色市群众工作服务中心</w:t>
            </w:r>
          </w:p>
        </w:tc>
        <w:tc>
          <w:tcPr>
            <w:tcW w:w="1364" w:type="dxa"/>
            <w:noWrap w:val="0"/>
            <w:vAlign w:val="center"/>
          </w:tcPr>
          <w:p>
            <w:pPr>
              <w:jc w:val="right"/>
              <w:rPr>
                <w:sz w:val="18"/>
                <w:szCs w:val="18"/>
              </w:rPr>
            </w:pPr>
            <w:r>
              <w:rPr>
                <w:rFonts w:hint="eastAsia" w:ascii="宋体" w:hAnsi="宋体"/>
                <w:color w:val="000000"/>
                <w:sz w:val="18"/>
                <w:szCs w:val="18"/>
              </w:rPr>
              <w:t>145.88</w:t>
            </w:r>
          </w:p>
        </w:tc>
        <w:tc>
          <w:tcPr>
            <w:tcW w:w="940" w:type="dxa"/>
            <w:noWrap w:val="0"/>
            <w:vAlign w:val="center"/>
          </w:tcPr>
          <w:p>
            <w:pPr>
              <w:jc w:val="right"/>
              <w:rPr>
                <w:sz w:val="18"/>
                <w:szCs w:val="18"/>
              </w:rPr>
            </w:pPr>
            <w:r>
              <w:rPr>
                <w:rFonts w:hint="eastAsia" w:ascii="宋体" w:hAnsi="宋体"/>
                <w:color w:val="000000"/>
                <w:sz w:val="18"/>
                <w:szCs w:val="18"/>
              </w:rPr>
              <w:t>145.88</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201</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40</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50</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事业运行</w:t>
            </w:r>
          </w:p>
        </w:tc>
        <w:tc>
          <w:tcPr>
            <w:tcW w:w="1364" w:type="dxa"/>
            <w:noWrap w:val="0"/>
            <w:vAlign w:val="center"/>
          </w:tcPr>
          <w:p>
            <w:pPr>
              <w:jc w:val="right"/>
              <w:rPr>
                <w:sz w:val="18"/>
                <w:szCs w:val="18"/>
              </w:rPr>
            </w:pPr>
            <w:r>
              <w:rPr>
                <w:rFonts w:hint="eastAsia" w:ascii="宋体" w:hAnsi="宋体"/>
                <w:color w:val="000000"/>
                <w:sz w:val="18"/>
                <w:szCs w:val="18"/>
              </w:rPr>
              <w:t>103.84</w:t>
            </w:r>
          </w:p>
        </w:tc>
        <w:tc>
          <w:tcPr>
            <w:tcW w:w="940" w:type="dxa"/>
            <w:noWrap w:val="0"/>
            <w:vAlign w:val="center"/>
          </w:tcPr>
          <w:p>
            <w:pPr>
              <w:jc w:val="right"/>
              <w:rPr>
                <w:sz w:val="18"/>
                <w:szCs w:val="18"/>
              </w:rPr>
            </w:pPr>
            <w:r>
              <w:rPr>
                <w:rFonts w:hint="eastAsia" w:ascii="宋体" w:hAnsi="宋体"/>
                <w:color w:val="000000"/>
                <w:sz w:val="18"/>
                <w:szCs w:val="18"/>
              </w:rPr>
              <w:t>103.84</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机关事业单位基本养老保险缴费支出</w:t>
            </w:r>
          </w:p>
        </w:tc>
        <w:tc>
          <w:tcPr>
            <w:tcW w:w="1364" w:type="dxa"/>
            <w:noWrap w:val="0"/>
            <w:vAlign w:val="center"/>
          </w:tcPr>
          <w:p>
            <w:pPr>
              <w:jc w:val="right"/>
              <w:rPr>
                <w:sz w:val="18"/>
                <w:szCs w:val="18"/>
              </w:rPr>
            </w:pPr>
            <w:r>
              <w:rPr>
                <w:rFonts w:hint="eastAsia" w:ascii="宋体" w:hAnsi="宋体"/>
                <w:color w:val="000000"/>
                <w:sz w:val="18"/>
                <w:szCs w:val="18"/>
              </w:rPr>
              <w:t>16.53</w:t>
            </w:r>
          </w:p>
        </w:tc>
        <w:tc>
          <w:tcPr>
            <w:tcW w:w="940" w:type="dxa"/>
            <w:noWrap w:val="0"/>
            <w:vAlign w:val="center"/>
          </w:tcPr>
          <w:p>
            <w:pPr>
              <w:jc w:val="right"/>
              <w:rPr>
                <w:sz w:val="18"/>
                <w:szCs w:val="18"/>
              </w:rPr>
            </w:pPr>
            <w:r>
              <w:rPr>
                <w:rFonts w:hint="eastAsia" w:ascii="宋体" w:hAnsi="宋体"/>
                <w:color w:val="000000"/>
                <w:sz w:val="18"/>
                <w:szCs w:val="18"/>
              </w:rPr>
              <w:t>16.53</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06</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机关事业单位职业年金缴费支出</w:t>
            </w:r>
          </w:p>
        </w:tc>
        <w:tc>
          <w:tcPr>
            <w:tcW w:w="1364" w:type="dxa"/>
            <w:noWrap w:val="0"/>
            <w:vAlign w:val="center"/>
          </w:tcPr>
          <w:p>
            <w:pPr>
              <w:jc w:val="right"/>
              <w:rPr>
                <w:sz w:val="18"/>
                <w:szCs w:val="18"/>
              </w:rPr>
            </w:pPr>
            <w:r>
              <w:rPr>
                <w:rFonts w:hint="eastAsia" w:ascii="宋体" w:hAnsi="宋体"/>
                <w:color w:val="000000"/>
                <w:sz w:val="18"/>
                <w:szCs w:val="18"/>
              </w:rPr>
              <w:t>8.27</w:t>
            </w:r>
          </w:p>
        </w:tc>
        <w:tc>
          <w:tcPr>
            <w:tcW w:w="940" w:type="dxa"/>
            <w:noWrap w:val="0"/>
            <w:vAlign w:val="center"/>
          </w:tcPr>
          <w:p>
            <w:pPr>
              <w:jc w:val="right"/>
              <w:rPr>
                <w:sz w:val="18"/>
                <w:szCs w:val="18"/>
              </w:rPr>
            </w:pPr>
            <w:r>
              <w:rPr>
                <w:rFonts w:hint="eastAsia" w:ascii="宋体" w:hAnsi="宋体"/>
                <w:color w:val="000000"/>
                <w:sz w:val="18"/>
                <w:szCs w:val="18"/>
              </w:rPr>
              <w:t>8.27</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210</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11</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事业单位医疗</w:t>
            </w:r>
          </w:p>
        </w:tc>
        <w:tc>
          <w:tcPr>
            <w:tcW w:w="1364" w:type="dxa"/>
            <w:noWrap w:val="0"/>
            <w:vAlign w:val="center"/>
          </w:tcPr>
          <w:p>
            <w:pPr>
              <w:jc w:val="right"/>
              <w:rPr>
                <w:sz w:val="18"/>
                <w:szCs w:val="18"/>
              </w:rPr>
            </w:pPr>
            <w:r>
              <w:rPr>
                <w:rFonts w:hint="eastAsia" w:ascii="宋体" w:hAnsi="宋体"/>
                <w:color w:val="000000"/>
                <w:sz w:val="18"/>
                <w:szCs w:val="18"/>
              </w:rPr>
              <w:t>4.85</w:t>
            </w:r>
          </w:p>
        </w:tc>
        <w:tc>
          <w:tcPr>
            <w:tcW w:w="940" w:type="dxa"/>
            <w:noWrap w:val="0"/>
            <w:vAlign w:val="center"/>
          </w:tcPr>
          <w:p>
            <w:pPr>
              <w:jc w:val="right"/>
              <w:rPr>
                <w:sz w:val="18"/>
                <w:szCs w:val="18"/>
              </w:rPr>
            </w:pPr>
            <w:r>
              <w:rPr>
                <w:rFonts w:hint="eastAsia" w:ascii="宋体" w:hAnsi="宋体"/>
                <w:color w:val="000000"/>
                <w:sz w:val="18"/>
                <w:szCs w:val="18"/>
              </w:rPr>
              <w:t>4.85</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221</w:t>
            </w:r>
          </w:p>
        </w:tc>
        <w:tc>
          <w:tcPr>
            <w:tcW w:w="612"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620" w:type="dxa"/>
            <w:gridSpan w:val="2"/>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2175" w:type="dxa"/>
            <w:noWrap w:val="0"/>
            <w:vAlign w:val="center"/>
          </w:tcPr>
          <w:p>
            <w:pPr>
              <w:widowControl/>
              <w:jc w:val="left"/>
              <w:textAlignment w:val="center"/>
              <w:rPr>
                <w:rFonts w:ascii="宋体" w:hAnsi="宋体"/>
                <w:color w:val="000000"/>
                <w:sz w:val="18"/>
                <w:szCs w:val="18"/>
              </w:rPr>
            </w:pPr>
          </w:p>
        </w:tc>
        <w:tc>
          <w:tcPr>
            <w:tcW w:w="2191" w:type="dxa"/>
            <w:noWrap w:val="0"/>
            <w:vAlign w:val="center"/>
          </w:tcPr>
          <w:p>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住房公积金</w:t>
            </w:r>
          </w:p>
        </w:tc>
        <w:tc>
          <w:tcPr>
            <w:tcW w:w="1364" w:type="dxa"/>
            <w:noWrap w:val="0"/>
            <w:vAlign w:val="center"/>
          </w:tcPr>
          <w:p>
            <w:pPr>
              <w:jc w:val="right"/>
              <w:rPr>
                <w:sz w:val="18"/>
                <w:szCs w:val="18"/>
              </w:rPr>
            </w:pPr>
            <w:r>
              <w:rPr>
                <w:rFonts w:hint="eastAsia" w:ascii="宋体" w:hAnsi="宋体"/>
                <w:color w:val="000000"/>
                <w:sz w:val="18"/>
                <w:szCs w:val="18"/>
              </w:rPr>
              <w:t>12.4</w:t>
            </w:r>
          </w:p>
        </w:tc>
        <w:tc>
          <w:tcPr>
            <w:tcW w:w="940" w:type="dxa"/>
            <w:noWrap w:val="0"/>
            <w:vAlign w:val="center"/>
          </w:tcPr>
          <w:p>
            <w:pPr>
              <w:jc w:val="right"/>
              <w:rPr>
                <w:sz w:val="18"/>
                <w:szCs w:val="18"/>
              </w:rPr>
            </w:pPr>
            <w:r>
              <w:rPr>
                <w:rFonts w:hint="eastAsia" w:ascii="宋体" w:hAnsi="宋体"/>
                <w:color w:val="000000"/>
                <w:sz w:val="18"/>
                <w:szCs w:val="18"/>
              </w:rPr>
              <w:t>12.4</w:t>
            </w:r>
          </w:p>
        </w:tc>
        <w:tc>
          <w:tcPr>
            <w:tcW w:w="1255" w:type="dxa"/>
            <w:noWrap w:val="0"/>
            <w:vAlign w:val="center"/>
          </w:tcPr>
          <w:p>
            <w:pPr>
              <w:jc w:val="right"/>
              <w:rPr>
                <w:sz w:val="18"/>
                <w:szCs w:val="18"/>
              </w:rPr>
            </w:pPr>
          </w:p>
        </w:tc>
        <w:tc>
          <w:tcPr>
            <w:tcW w:w="2032" w:type="dxa"/>
            <w:noWrap w:val="0"/>
            <w:vAlign w:val="center"/>
          </w:tcPr>
          <w:p>
            <w:pPr>
              <w:jc w:val="right"/>
              <w:rPr>
                <w:rFonts w:hint="eastAsia" w:ascii="宋体" w:hAnsi="宋体"/>
                <w:color w:val="000000"/>
                <w:sz w:val="18"/>
                <w:szCs w:val="18"/>
              </w:rPr>
            </w:pPr>
          </w:p>
        </w:tc>
        <w:tc>
          <w:tcPr>
            <w:tcW w:w="1513" w:type="dxa"/>
            <w:noWrap w:val="0"/>
            <w:vAlign w:val="center"/>
          </w:tcPr>
          <w:p>
            <w:pPr>
              <w:jc w:val="right"/>
              <w:rPr>
                <w:rFonts w:hint="eastAsia" w:ascii="宋体" w:hAnsi="宋体"/>
                <w:color w:val="000000"/>
                <w:sz w:val="18"/>
                <w:szCs w:val="18"/>
              </w:rPr>
            </w:pPr>
          </w:p>
        </w:tc>
        <w:tc>
          <w:tcPr>
            <w:tcW w:w="1993" w:type="dxa"/>
            <w:noWrap w:val="0"/>
            <w:vAlign w:val="center"/>
          </w:tcPr>
          <w:p>
            <w:pPr>
              <w:jc w:val="right"/>
              <w:rPr>
                <w:rFonts w:hint="eastAsia" w:ascii="宋体" w:hAnsi="宋体"/>
                <w:color w:val="000000"/>
                <w:sz w:val="18"/>
                <w:szCs w:val="18"/>
              </w:rPr>
            </w:pPr>
          </w:p>
        </w:tc>
      </w:tr>
      <w:bookmarkEnd w:id="16"/>
    </w:tbl>
    <w:p>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w:t>
      </w:r>
      <w:bookmarkStart w:id="18" w:name="PO_part2Table1Remark3"/>
      <w:r>
        <w:rPr>
          <w:rFonts w:hint="eastAsia" w:ascii="宋体" w:hAnsi="宋体" w:cs="宋体"/>
          <w:color w:val="000000"/>
          <w:kern w:val="0"/>
          <w:sz w:val="18"/>
          <w:szCs w:val="18"/>
          <w:lang w:bidi="ar"/>
        </w:rPr>
        <w:t xml:space="preserve"> 报表金额单位转换时可能存在四舍五入尾数误差。</w:t>
      </w:r>
      <w:bookmarkEnd w:id="18"/>
      <w:r>
        <w:rPr>
          <w:rFonts w:hint="eastAsia" w:ascii="宋体" w:hAnsi="宋体" w:cs="宋体"/>
          <w:color w:val="000000"/>
          <w:kern w:val="0"/>
          <w:sz w:val="18"/>
          <w:szCs w:val="18"/>
          <w:lang w:bidi="ar"/>
        </w:rPr>
        <w:t xml:space="preserve">  </w:t>
      </w:r>
    </w:p>
    <w:p>
      <w:pPr>
        <w:rPr>
          <w:rFonts w:hint="eastAsia"/>
        </w:rPr>
        <w:sectPr>
          <w:pgSz w:w="16838" w:h="11906" w:orient="landscape"/>
          <w:pgMar w:top="1800" w:right="1440" w:bottom="1800" w:left="1440" w:header="851" w:footer="992" w:gutter="0"/>
          <w:cols w:space="720" w:num="1"/>
          <w:docGrid w:type="lines" w:linePitch="312" w:charSpace="0"/>
        </w:sectPr>
      </w:pPr>
    </w:p>
    <w:p>
      <w:pPr>
        <w:rPr>
          <w:rFonts w:hint="eastAsia"/>
        </w:rPr>
      </w:pPr>
      <w:bookmarkStart w:id="19" w:name="PO_part2Table4"/>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3826"/>
        <w:gridCol w:w="3827"/>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4"/>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lang w:val="en-US" w:eastAsia="zh-CN"/>
              </w:rPr>
              <w:t>预算公开04</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4"/>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rPr>
              <w:t>财政拨款收支总体情况表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80" w:type="dxa"/>
            <w:gridSpan w:val="3"/>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0" w:name="PO_part2Table1DivName4"/>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百色市信访局</w:t>
            </w:r>
            <w:r>
              <w:rPr>
                <w:rFonts w:hint="eastAsia" w:ascii="宋体" w:hAnsi="宋体"/>
                <w:color w:val="000000"/>
                <w:kern w:val="0"/>
                <w:sz w:val="18"/>
                <w:szCs w:val="18"/>
              </w:rPr>
              <w:t xml:space="preserve"> </w:t>
            </w:r>
            <w:bookmarkEnd w:id="20"/>
          </w:p>
        </w:tc>
        <w:tc>
          <w:tcPr>
            <w:tcW w:w="3827"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65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收        入</w:t>
            </w:r>
          </w:p>
        </w:tc>
        <w:tc>
          <w:tcPr>
            <w:tcW w:w="76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82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82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kern w:val="0"/>
                <w:sz w:val="18"/>
                <w:szCs w:val="18"/>
              </w:rPr>
              <w:t>预算数</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目（按支出功能科目分类）</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一、本年收入</w:t>
            </w:r>
          </w:p>
        </w:tc>
        <w:tc>
          <w:tcPr>
            <w:tcW w:w="3826"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536.93</w:t>
            </w: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一、本年支出</w:t>
            </w:r>
          </w:p>
        </w:tc>
        <w:tc>
          <w:tcPr>
            <w:tcW w:w="3827"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536.93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（一）一般公共预算</w:t>
            </w:r>
          </w:p>
        </w:tc>
        <w:tc>
          <w:tcPr>
            <w:tcW w:w="3826"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536.93</w:t>
            </w: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（一）一般公共服务支出</w:t>
            </w:r>
          </w:p>
        </w:tc>
        <w:tc>
          <w:tcPr>
            <w:tcW w:w="3827"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427.88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（二）外交支出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536.93</w:t>
            </w: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（三）国防支出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3、一般债券收入</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（四）公共安全支出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（二）政府性基金预算</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（五）教育支出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（六）科学技术支出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（七）文化旅游体育与传媒支出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3、专项债券收入</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（八）社会保障和就业支出</w:t>
            </w:r>
          </w:p>
        </w:tc>
        <w:tc>
          <w:tcPr>
            <w:tcW w:w="3827"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62.84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（三）国有资本经营预算</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（九）卫生健康支出</w:t>
            </w:r>
          </w:p>
        </w:tc>
        <w:tc>
          <w:tcPr>
            <w:tcW w:w="3827"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（十）节能环保支出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（十一）城乡社区支出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二、上年结转结余</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（十二）农林水支出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（一）一般公共预算</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（十三）交通运输支出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（二）政府性基金预算</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（十四）资源勘探工业信息等支出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（三）国有资本经营预算</w:t>
            </w: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（十五）商业服务业等支出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（十六）金融支出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（十七）援助其他地区支出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（十八）自然资源海洋气象等支出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（十九）住房保障支出</w:t>
            </w:r>
          </w:p>
        </w:tc>
        <w:tc>
          <w:tcPr>
            <w:tcW w:w="3827"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29.93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（二十）粮油物资储备支出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（二十一）国有资本经营预算支出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（二十二）灾害防治及应急管理支出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（二十三）其他支出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（二十四）债务还本支出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（二十五）债务付息支出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（二十六）债务发行费用支出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pPr>
              <w:jc w:val="right"/>
              <w:rPr>
                <w:rFonts w:hint="eastAsia" w:ascii="宋体" w:hAnsi="宋体"/>
                <w:color w:val="000000"/>
                <w:sz w:val="18"/>
                <w:szCs w:val="18"/>
              </w:rPr>
            </w:pP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二、结转下年支出</w:t>
            </w:r>
          </w:p>
        </w:tc>
        <w:tc>
          <w:tcPr>
            <w:tcW w:w="3827" w:type="dxa"/>
            <w:tcBorders>
              <w:top w:val="single" w:color="auto" w:sz="4"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收   入   总   计</w:t>
            </w:r>
          </w:p>
        </w:tc>
        <w:tc>
          <w:tcPr>
            <w:tcW w:w="3826"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536.93</w:t>
            </w:r>
          </w:p>
        </w:tc>
        <w:tc>
          <w:tcPr>
            <w:tcW w:w="3827" w:type="dxa"/>
            <w:tcBorders>
              <w:top w:val="single" w:color="auto" w:sz="4" w:space="0"/>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支　　　出　　　总　　　计</w:t>
            </w:r>
          </w:p>
        </w:tc>
        <w:tc>
          <w:tcPr>
            <w:tcW w:w="3827" w:type="dxa"/>
            <w:tcBorders>
              <w:top w:val="single" w:color="auto" w:sz="4"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536.93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noWrap w:val="0"/>
            <w:vAlign w:val="center"/>
          </w:tcPr>
          <w:p>
            <w:pPr>
              <w:widowControl/>
              <w:jc w:val="center"/>
              <w:textAlignment w:val="center"/>
              <w:rPr>
                <w:rFonts w:ascii="宋体" w:hAnsi="宋体"/>
                <w:color w:val="000000"/>
                <w:sz w:val="18"/>
                <w:szCs w:val="18"/>
              </w:rPr>
            </w:pPr>
          </w:p>
        </w:tc>
        <w:tc>
          <w:tcPr>
            <w:tcW w:w="3826" w:type="dxa"/>
            <w:noWrap w:val="0"/>
            <w:vAlign w:val="center"/>
          </w:tcPr>
          <w:p>
            <w:pPr>
              <w:jc w:val="right"/>
              <w:rPr>
                <w:rFonts w:ascii="宋体" w:hAnsi="宋体"/>
                <w:color w:val="000000"/>
                <w:sz w:val="18"/>
                <w:szCs w:val="18"/>
              </w:rPr>
            </w:pPr>
          </w:p>
        </w:tc>
        <w:tc>
          <w:tcPr>
            <w:tcW w:w="3827" w:type="dxa"/>
            <w:noWrap w:val="0"/>
            <w:vAlign w:val="center"/>
          </w:tcPr>
          <w:p>
            <w:pPr>
              <w:widowControl/>
              <w:jc w:val="center"/>
              <w:textAlignment w:val="center"/>
              <w:rPr>
                <w:rFonts w:ascii="宋体" w:hAnsi="宋体"/>
                <w:color w:val="000000"/>
                <w:sz w:val="18"/>
                <w:szCs w:val="18"/>
              </w:rPr>
            </w:pPr>
          </w:p>
        </w:tc>
        <w:tc>
          <w:tcPr>
            <w:tcW w:w="3827" w:type="dxa"/>
            <w:noWrap w:val="0"/>
            <w:vAlign w:val="center"/>
          </w:tcPr>
          <w:p>
            <w:pPr>
              <w:jc w:val="right"/>
              <w:rPr>
                <w:rFonts w:ascii="宋体" w:hAnsi="宋体"/>
                <w:color w:val="000000"/>
                <w:sz w:val="18"/>
                <w:szCs w:val="18"/>
              </w:rPr>
            </w:pPr>
          </w:p>
        </w:tc>
      </w:tr>
      <w:bookmarkEnd w:id="19"/>
    </w:tbl>
    <w:p>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注：</w:t>
      </w:r>
      <w:bookmarkStart w:id="21" w:name="PO_part2Table1Remark4"/>
      <w:r>
        <w:rPr>
          <w:rFonts w:hint="eastAsia" w:ascii="宋体" w:hAnsi="宋体" w:cs="宋体"/>
          <w:color w:val="000000"/>
          <w:kern w:val="0"/>
          <w:sz w:val="18"/>
          <w:szCs w:val="18"/>
          <w:lang w:bidi="ar"/>
        </w:rPr>
        <w:t xml:space="preserve"> 表中功能分类科目，根据各部门实际预算编制情况编列。</w:t>
      </w:r>
    </w:p>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 xml:space="preserve">报表金额单位转换时可能存在四舍五入尾数误差。 </w:t>
      </w:r>
      <w:bookmarkEnd w:id="21"/>
    </w:p>
    <w:p>
      <w:pPr>
        <w:rPr>
          <w:rFonts w:hint="eastAsia"/>
        </w:rPr>
      </w:pPr>
      <w:bookmarkStart w:id="22" w:name="PO_part2Table5"/>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95"/>
        <w:gridCol w:w="480"/>
        <w:gridCol w:w="919"/>
        <w:gridCol w:w="2717"/>
        <w:gridCol w:w="1704"/>
        <w:gridCol w:w="2080"/>
        <w:gridCol w:w="2126"/>
        <w:gridCol w:w="184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567" w:type="dxa"/>
            <w:gridSpan w:val="10"/>
            <w:tcBorders>
              <w:top w:val="nil"/>
              <w:left w:val="nil"/>
              <w:bottom w:val="nil"/>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预算公开05</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567" w:type="dxa"/>
            <w:gridSpan w:val="10"/>
            <w:tcBorders>
              <w:top w:val="nil"/>
              <w:left w:val="nil"/>
              <w:bottom w:val="nil"/>
              <w:right w:val="nil"/>
            </w:tcBorders>
            <w:noWrap w:val="0"/>
            <w:vAlign w:val="center"/>
          </w:tcPr>
          <w:p>
            <w:pPr>
              <w:jc w:val="center"/>
              <w:rPr>
                <w:rFonts w:hint="eastAsia" w:ascii="宋体" w:hAnsi="宋体"/>
                <w:b/>
                <w:bCs/>
                <w:color w:val="000000"/>
                <w:kern w:val="0"/>
                <w:sz w:val="26"/>
                <w:szCs w:val="26"/>
              </w:rPr>
            </w:pPr>
            <w:r>
              <w:rPr>
                <w:rFonts w:hint="eastAsia" w:ascii="宋体" w:hAnsi="宋体"/>
                <w:b/>
                <w:bCs/>
                <w:color w:val="000000"/>
                <w:kern w:val="0"/>
                <w:sz w:val="26"/>
                <w:szCs w:val="26"/>
              </w:rPr>
              <w:t>一般公共预算支出情况表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6959" w:type="dxa"/>
            <w:gridSpan w:val="6"/>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3" w:name="PO_part2Table1DivName5"/>
            <w:r>
              <w:rPr>
                <w:rFonts w:hint="eastAsia" w:ascii="宋体" w:hAnsi="宋体"/>
                <w:color w:val="000000"/>
                <w:kern w:val="0"/>
                <w:sz w:val="18"/>
                <w:szCs w:val="18"/>
                <w:lang w:val="en-US" w:eastAsia="zh-CN"/>
              </w:rPr>
              <w:t>百色市信访局</w:t>
            </w:r>
            <w:r>
              <w:rPr>
                <w:rFonts w:hint="eastAsia" w:ascii="宋体" w:hAnsi="宋体"/>
                <w:color w:val="000000"/>
                <w:kern w:val="0"/>
                <w:sz w:val="18"/>
                <w:szCs w:val="18"/>
              </w:rPr>
              <w:t xml:space="preserve"> </w:t>
            </w:r>
            <w:bookmarkEnd w:id="23"/>
            <w:r>
              <w:rPr>
                <w:rFonts w:ascii="宋体" w:hAnsi="宋体"/>
                <w:color w:val="000000"/>
                <w:kern w:val="0"/>
                <w:sz w:val="18"/>
                <w:szCs w:val="18"/>
              </w:rPr>
              <w:t xml:space="preserve">                      </w:t>
            </w:r>
          </w:p>
        </w:tc>
        <w:tc>
          <w:tcPr>
            <w:tcW w:w="7608" w:type="dxa"/>
            <w:gridSpan w:val="4"/>
            <w:tcBorders>
              <w:top w:val="nil"/>
              <w:left w:val="nil"/>
              <w:bottom w:val="single" w:color="auto" w:sz="4" w:space="0"/>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restart"/>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科目编码</w:t>
            </w:r>
          </w:p>
        </w:tc>
        <w:tc>
          <w:tcPr>
            <w:tcW w:w="919" w:type="dxa"/>
            <w:vMerge w:val="restart"/>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部门（单位）代码</w:t>
            </w:r>
          </w:p>
        </w:tc>
        <w:tc>
          <w:tcPr>
            <w:tcW w:w="2717" w:type="dxa"/>
            <w:vMerge w:val="restart"/>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部门（单位）名称</w:t>
            </w:r>
          </w:p>
          <w:p>
            <w:pPr>
              <w:widowControl/>
              <w:jc w:val="center"/>
              <w:textAlignment w:val="center"/>
              <w:rPr>
                <w:rFonts w:hint="eastAsia" w:ascii="宋体" w:hAnsi="宋体"/>
                <w:color w:val="000000"/>
                <w:sz w:val="18"/>
                <w:szCs w:val="18"/>
              </w:rPr>
            </w:pPr>
            <w:r>
              <w:rPr>
                <w:rFonts w:hint="eastAsia" w:ascii="宋体" w:hAnsi="宋体"/>
                <w:color w:val="000000"/>
                <w:sz w:val="18"/>
                <w:szCs w:val="18"/>
              </w:rPr>
              <w:t>(功能分类科目名称)</w:t>
            </w:r>
          </w:p>
        </w:tc>
        <w:tc>
          <w:tcPr>
            <w:tcW w:w="1704" w:type="dxa"/>
            <w:vMerge w:val="restart"/>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合计</w:t>
            </w:r>
          </w:p>
        </w:tc>
        <w:tc>
          <w:tcPr>
            <w:tcW w:w="7608" w:type="dxa"/>
            <w:gridSpan w:val="4"/>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本年一般公共预算支出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continue"/>
            <w:noWrap w:val="0"/>
            <w:vAlign w:val="center"/>
          </w:tcPr>
          <w:p>
            <w:pPr>
              <w:widowControl/>
              <w:jc w:val="center"/>
              <w:textAlignment w:val="center"/>
              <w:rPr>
                <w:rFonts w:hint="eastAsia" w:ascii="宋体" w:hAnsi="宋体"/>
                <w:color w:val="000000"/>
                <w:sz w:val="18"/>
                <w:szCs w:val="18"/>
              </w:rPr>
            </w:pPr>
          </w:p>
        </w:tc>
        <w:tc>
          <w:tcPr>
            <w:tcW w:w="919" w:type="dxa"/>
            <w:vMerge w:val="continue"/>
            <w:noWrap w:val="0"/>
            <w:vAlign w:val="center"/>
          </w:tcPr>
          <w:p>
            <w:pPr>
              <w:widowControl/>
              <w:jc w:val="center"/>
              <w:textAlignment w:val="center"/>
              <w:rPr>
                <w:rFonts w:hint="eastAsia" w:ascii="宋体" w:hAnsi="宋体"/>
                <w:color w:val="000000"/>
                <w:sz w:val="18"/>
                <w:szCs w:val="18"/>
              </w:rPr>
            </w:pPr>
          </w:p>
        </w:tc>
        <w:tc>
          <w:tcPr>
            <w:tcW w:w="2717" w:type="dxa"/>
            <w:vMerge w:val="continue"/>
            <w:noWrap w:val="0"/>
            <w:vAlign w:val="center"/>
          </w:tcPr>
          <w:p>
            <w:pPr>
              <w:widowControl/>
              <w:jc w:val="center"/>
              <w:textAlignment w:val="center"/>
              <w:rPr>
                <w:rFonts w:hint="eastAsia" w:ascii="宋体" w:hAnsi="宋体"/>
                <w:color w:val="000000"/>
                <w:sz w:val="18"/>
                <w:szCs w:val="18"/>
              </w:rPr>
            </w:pPr>
          </w:p>
        </w:tc>
        <w:tc>
          <w:tcPr>
            <w:tcW w:w="1704" w:type="dxa"/>
            <w:vMerge w:val="continue"/>
            <w:tcBorders>
              <w:bottom w:val="single" w:color="auto" w:sz="4" w:space="0"/>
            </w:tcBorders>
            <w:noWrap w:val="0"/>
            <w:vAlign w:val="center"/>
          </w:tcPr>
          <w:p>
            <w:pPr>
              <w:widowControl/>
              <w:jc w:val="center"/>
              <w:textAlignment w:val="center"/>
              <w:rPr>
                <w:rFonts w:hint="eastAsia" w:ascii="宋体" w:hAnsi="宋体"/>
                <w:color w:val="000000"/>
                <w:sz w:val="18"/>
                <w:szCs w:val="18"/>
              </w:rPr>
            </w:pPr>
          </w:p>
        </w:tc>
        <w:tc>
          <w:tcPr>
            <w:tcW w:w="6049" w:type="dxa"/>
            <w:gridSpan w:val="3"/>
            <w:tcBorders>
              <w:bottom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基本支出</w:t>
            </w:r>
          </w:p>
        </w:tc>
        <w:tc>
          <w:tcPr>
            <w:tcW w:w="1559" w:type="dxa"/>
            <w:vMerge w:val="restart"/>
            <w:tcBorders>
              <w:bottom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continue"/>
            <w:noWrap w:val="0"/>
            <w:vAlign w:val="center"/>
          </w:tcPr>
          <w:p>
            <w:pPr>
              <w:jc w:val="right"/>
              <w:rPr>
                <w:rFonts w:hint="eastAsia" w:ascii="宋体" w:hAnsi="宋体"/>
                <w:color w:val="000000"/>
                <w:kern w:val="0"/>
                <w:sz w:val="18"/>
                <w:szCs w:val="18"/>
              </w:rPr>
            </w:pPr>
          </w:p>
        </w:tc>
        <w:tc>
          <w:tcPr>
            <w:tcW w:w="919" w:type="dxa"/>
            <w:vMerge w:val="continue"/>
            <w:noWrap w:val="0"/>
            <w:vAlign w:val="center"/>
          </w:tcPr>
          <w:p>
            <w:pPr>
              <w:jc w:val="right"/>
              <w:rPr>
                <w:rFonts w:hint="eastAsia" w:ascii="宋体" w:hAnsi="宋体"/>
                <w:color w:val="000000"/>
                <w:kern w:val="0"/>
                <w:sz w:val="18"/>
                <w:szCs w:val="18"/>
              </w:rPr>
            </w:pPr>
          </w:p>
        </w:tc>
        <w:tc>
          <w:tcPr>
            <w:tcW w:w="2717" w:type="dxa"/>
            <w:vMerge w:val="continue"/>
            <w:noWrap w:val="0"/>
            <w:vAlign w:val="center"/>
          </w:tcPr>
          <w:p>
            <w:pPr>
              <w:jc w:val="right"/>
              <w:rPr>
                <w:rFonts w:hint="eastAsia" w:ascii="宋体" w:hAnsi="宋体"/>
                <w:color w:val="000000"/>
                <w:kern w:val="0"/>
                <w:sz w:val="18"/>
                <w:szCs w:val="18"/>
              </w:rPr>
            </w:pPr>
          </w:p>
        </w:tc>
        <w:tc>
          <w:tcPr>
            <w:tcW w:w="1704" w:type="dxa"/>
            <w:vMerge w:val="continue"/>
            <w:tcBorders>
              <w:top w:val="single" w:color="auto" w:sz="4" w:space="0"/>
            </w:tcBorders>
            <w:noWrap w:val="0"/>
            <w:vAlign w:val="center"/>
          </w:tcPr>
          <w:p>
            <w:pPr>
              <w:jc w:val="right"/>
              <w:rPr>
                <w:rFonts w:hint="eastAsia" w:ascii="宋体" w:hAnsi="宋体"/>
                <w:color w:val="000000"/>
                <w:kern w:val="0"/>
                <w:sz w:val="18"/>
                <w:szCs w:val="18"/>
              </w:rPr>
            </w:pPr>
          </w:p>
        </w:tc>
        <w:tc>
          <w:tcPr>
            <w:tcW w:w="2080" w:type="dxa"/>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小计</w:t>
            </w:r>
          </w:p>
        </w:tc>
        <w:tc>
          <w:tcPr>
            <w:tcW w:w="2126" w:type="dxa"/>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人员经费</w:t>
            </w:r>
          </w:p>
        </w:tc>
        <w:tc>
          <w:tcPr>
            <w:tcW w:w="1843" w:type="dxa"/>
            <w:tcBorders>
              <w:top w:val="single" w:color="auto" w:sz="4"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公用经费</w:t>
            </w:r>
          </w:p>
        </w:tc>
        <w:tc>
          <w:tcPr>
            <w:tcW w:w="1559" w:type="dxa"/>
            <w:vMerge w:val="continue"/>
            <w:tcBorders>
              <w:top w:val="single" w:color="auto" w:sz="4" w:space="0"/>
            </w:tcBorders>
            <w:noWrap w:val="0"/>
            <w:vAlign w:val="center"/>
          </w:tcPr>
          <w:p>
            <w:pPr>
              <w:jc w:val="right"/>
              <w:rPr>
                <w:rFonts w:hint="eastAsia"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644"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495"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480"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919"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2717" w:type="dxa"/>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1704" w:type="dxa"/>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1</w:t>
            </w:r>
          </w:p>
        </w:tc>
        <w:tc>
          <w:tcPr>
            <w:tcW w:w="2080" w:type="dxa"/>
            <w:noWrap w:val="0"/>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2</w:t>
            </w:r>
          </w:p>
        </w:tc>
        <w:tc>
          <w:tcPr>
            <w:tcW w:w="2126" w:type="dxa"/>
            <w:noWrap w:val="0"/>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3</w:t>
            </w:r>
          </w:p>
        </w:tc>
        <w:tc>
          <w:tcPr>
            <w:tcW w:w="1843" w:type="dxa"/>
            <w:noWrap w:val="0"/>
            <w:vAlign w:val="center"/>
          </w:tcPr>
          <w:p>
            <w:pPr>
              <w:widowControl/>
              <w:jc w:val="center"/>
              <w:textAlignment w:val="center"/>
              <w:rPr>
                <w:rFonts w:ascii="宋体" w:hAnsi="宋体"/>
                <w:color w:val="000000"/>
                <w:sz w:val="18"/>
                <w:szCs w:val="18"/>
              </w:rPr>
            </w:pPr>
            <w:r>
              <w:rPr>
                <w:rFonts w:hint="eastAsia" w:ascii="宋体" w:hAnsi="宋体"/>
                <w:color w:val="000000"/>
                <w:sz w:val="18"/>
                <w:szCs w:val="18"/>
              </w:rPr>
              <w:t>4</w:t>
            </w:r>
          </w:p>
        </w:tc>
        <w:tc>
          <w:tcPr>
            <w:tcW w:w="1559" w:type="dxa"/>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p>
        </w:tc>
        <w:tc>
          <w:tcPr>
            <w:tcW w:w="495" w:type="dxa"/>
            <w:noWrap w:val="0"/>
            <w:vAlign w:val="center"/>
          </w:tcPr>
          <w:p>
            <w:pPr>
              <w:widowControl/>
              <w:textAlignment w:val="center"/>
              <w:rPr>
                <w:rFonts w:hint="eastAsia" w:ascii="宋体" w:hAnsi="宋体"/>
                <w:color w:val="000000"/>
                <w:sz w:val="18"/>
                <w:szCs w:val="18"/>
              </w:rPr>
            </w:pPr>
          </w:p>
        </w:tc>
        <w:tc>
          <w:tcPr>
            <w:tcW w:w="480" w:type="dxa"/>
            <w:noWrap w:val="0"/>
            <w:vAlign w:val="center"/>
          </w:tcPr>
          <w:p>
            <w:pPr>
              <w:widowControl/>
              <w:textAlignment w:val="center"/>
              <w:rPr>
                <w:rFonts w:hint="eastAsia" w:ascii="宋体" w:hAnsi="宋体"/>
                <w:color w:val="000000"/>
                <w:sz w:val="18"/>
                <w:szCs w:val="18"/>
              </w:rPr>
            </w:pP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536.93</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393.45</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354.39</w:t>
            </w:r>
          </w:p>
        </w:tc>
        <w:tc>
          <w:tcPr>
            <w:tcW w:w="1843"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39.06</w:t>
            </w:r>
          </w:p>
        </w:tc>
        <w:tc>
          <w:tcPr>
            <w:tcW w:w="1559"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143.48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p>
        </w:tc>
        <w:tc>
          <w:tcPr>
            <w:tcW w:w="495" w:type="dxa"/>
            <w:noWrap w:val="0"/>
            <w:vAlign w:val="center"/>
          </w:tcPr>
          <w:p>
            <w:pPr>
              <w:widowControl/>
              <w:textAlignment w:val="center"/>
              <w:rPr>
                <w:rFonts w:hint="eastAsia" w:ascii="宋体" w:hAnsi="宋体"/>
                <w:color w:val="000000"/>
                <w:sz w:val="18"/>
                <w:szCs w:val="18"/>
              </w:rPr>
            </w:pPr>
          </w:p>
        </w:tc>
        <w:tc>
          <w:tcPr>
            <w:tcW w:w="480" w:type="dxa"/>
            <w:noWrap w:val="0"/>
            <w:vAlign w:val="center"/>
          </w:tcPr>
          <w:p>
            <w:pPr>
              <w:widowControl/>
              <w:textAlignment w:val="center"/>
              <w:rPr>
                <w:rFonts w:hint="eastAsia" w:ascii="宋体" w:hAnsi="宋体"/>
                <w:color w:val="000000"/>
                <w:sz w:val="18"/>
                <w:szCs w:val="18"/>
              </w:rPr>
            </w:pPr>
          </w:p>
        </w:tc>
        <w:tc>
          <w:tcPr>
            <w:tcW w:w="919"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126</w:t>
            </w: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百色市信访局</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536.93</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393.45</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354.39</w:t>
            </w:r>
          </w:p>
        </w:tc>
        <w:tc>
          <w:tcPr>
            <w:tcW w:w="1843"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39.06</w:t>
            </w:r>
          </w:p>
        </w:tc>
        <w:tc>
          <w:tcPr>
            <w:tcW w:w="1559"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143.48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p>
        </w:tc>
        <w:tc>
          <w:tcPr>
            <w:tcW w:w="495" w:type="dxa"/>
            <w:noWrap w:val="0"/>
            <w:vAlign w:val="center"/>
          </w:tcPr>
          <w:p>
            <w:pPr>
              <w:widowControl/>
              <w:textAlignment w:val="center"/>
              <w:rPr>
                <w:rFonts w:hint="eastAsia" w:ascii="宋体" w:hAnsi="宋体"/>
                <w:color w:val="000000"/>
                <w:sz w:val="18"/>
                <w:szCs w:val="18"/>
              </w:rPr>
            </w:pPr>
          </w:p>
        </w:tc>
        <w:tc>
          <w:tcPr>
            <w:tcW w:w="480" w:type="dxa"/>
            <w:noWrap w:val="0"/>
            <w:vAlign w:val="center"/>
          </w:tcPr>
          <w:p>
            <w:pPr>
              <w:widowControl/>
              <w:textAlignment w:val="center"/>
              <w:rPr>
                <w:rFonts w:hint="eastAsia" w:ascii="宋体" w:hAnsi="宋体"/>
                <w:color w:val="000000"/>
                <w:sz w:val="18"/>
                <w:szCs w:val="18"/>
              </w:rPr>
            </w:pPr>
          </w:p>
        </w:tc>
        <w:tc>
          <w:tcPr>
            <w:tcW w:w="919"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126001</w:t>
            </w: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百色市信访局</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391.05</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247.57</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219.51</w:t>
            </w:r>
          </w:p>
        </w:tc>
        <w:tc>
          <w:tcPr>
            <w:tcW w:w="1843"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28.06</w:t>
            </w:r>
          </w:p>
        </w:tc>
        <w:tc>
          <w:tcPr>
            <w:tcW w:w="1559"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143.48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201</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36</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99</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其他共产党事务支出</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0.7</w:t>
            </w:r>
          </w:p>
        </w:tc>
        <w:tc>
          <w:tcPr>
            <w:tcW w:w="2080" w:type="dxa"/>
            <w:noWrap w:val="0"/>
            <w:vAlign w:val="center"/>
          </w:tcPr>
          <w:p>
            <w:pPr>
              <w:jc w:val="right"/>
              <w:rPr>
                <w:rFonts w:hint="eastAsia" w:ascii="宋体" w:hAnsi="宋体"/>
                <w:color w:val="000000"/>
                <w:sz w:val="18"/>
                <w:szCs w:val="18"/>
              </w:rPr>
            </w:pPr>
          </w:p>
        </w:tc>
        <w:tc>
          <w:tcPr>
            <w:tcW w:w="2126" w:type="dxa"/>
            <w:noWrap w:val="0"/>
            <w:vAlign w:val="center"/>
          </w:tcPr>
          <w:p>
            <w:pPr>
              <w:jc w:val="right"/>
              <w:rPr>
                <w:rFonts w:hint="eastAsia" w:ascii="宋体" w:hAnsi="宋体"/>
                <w:color w:val="000000"/>
                <w:sz w:val="18"/>
                <w:szCs w:val="18"/>
              </w:rPr>
            </w:pP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201</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40</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行政运行</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180.57</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180.57</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152.57</w:t>
            </w:r>
          </w:p>
        </w:tc>
        <w:tc>
          <w:tcPr>
            <w:tcW w:w="1843"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28</w:t>
            </w: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201</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40</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一般行政管理事务</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18</w:t>
            </w:r>
          </w:p>
        </w:tc>
        <w:tc>
          <w:tcPr>
            <w:tcW w:w="2080" w:type="dxa"/>
            <w:noWrap w:val="0"/>
            <w:vAlign w:val="center"/>
          </w:tcPr>
          <w:p>
            <w:pPr>
              <w:jc w:val="right"/>
              <w:rPr>
                <w:rFonts w:hint="eastAsia" w:ascii="宋体" w:hAnsi="宋体"/>
                <w:color w:val="000000"/>
                <w:sz w:val="18"/>
                <w:szCs w:val="18"/>
              </w:rPr>
            </w:pPr>
          </w:p>
        </w:tc>
        <w:tc>
          <w:tcPr>
            <w:tcW w:w="2126" w:type="dxa"/>
            <w:noWrap w:val="0"/>
            <w:vAlign w:val="center"/>
          </w:tcPr>
          <w:p>
            <w:pPr>
              <w:jc w:val="right"/>
              <w:rPr>
                <w:rFonts w:hint="eastAsia" w:ascii="宋体" w:hAnsi="宋体"/>
                <w:color w:val="000000"/>
                <w:sz w:val="18"/>
                <w:szCs w:val="18"/>
              </w:rPr>
            </w:pP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201</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40</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04</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信访业务</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124.78</w:t>
            </w:r>
          </w:p>
        </w:tc>
        <w:tc>
          <w:tcPr>
            <w:tcW w:w="2080" w:type="dxa"/>
            <w:noWrap w:val="0"/>
            <w:vAlign w:val="center"/>
          </w:tcPr>
          <w:p>
            <w:pPr>
              <w:jc w:val="right"/>
              <w:rPr>
                <w:rFonts w:hint="eastAsia" w:ascii="宋体" w:hAnsi="宋体"/>
                <w:color w:val="000000"/>
                <w:sz w:val="18"/>
                <w:szCs w:val="18"/>
              </w:rPr>
            </w:pPr>
          </w:p>
        </w:tc>
        <w:tc>
          <w:tcPr>
            <w:tcW w:w="2126" w:type="dxa"/>
            <w:noWrap w:val="0"/>
            <w:vAlign w:val="center"/>
          </w:tcPr>
          <w:p>
            <w:pPr>
              <w:jc w:val="right"/>
              <w:rPr>
                <w:rFonts w:hint="eastAsia" w:ascii="宋体" w:hAnsi="宋体"/>
                <w:color w:val="000000"/>
                <w:sz w:val="18"/>
                <w:szCs w:val="18"/>
              </w:rPr>
            </w:pP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124.78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行政单位离退休</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5.17</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5.17</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5.11</w:t>
            </w:r>
          </w:p>
        </w:tc>
        <w:tc>
          <w:tcPr>
            <w:tcW w:w="1843"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0.06</w:t>
            </w: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机关事业单位基本养老保险缴费支出</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21.18</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21.18</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21.18</w:t>
            </w: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06</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机关事业单位职业年金缴费支出</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11.69</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11.69</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11.69</w:t>
            </w: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210</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11</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行政单位医疗</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7.43</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7.43</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7.43</w:t>
            </w: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210</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11</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03</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公务员医疗补助</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3.99</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3.99</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3.99</w:t>
            </w: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221</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住房公积金</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17.54</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17.54</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17.54</w:t>
            </w: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p>
        </w:tc>
        <w:tc>
          <w:tcPr>
            <w:tcW w:w="495" w:type="dxa"/>
            <w:noWrap w:val="0"/>
            <w:vAlign w:val="center"/>
          </w:tcPr>
          <w:p>
            <w:pPr>
              <w:widowControl/>
              <w:textAlignment w:val="center"/>
              <w:rPr>
                <w:rFonts w:hint="eastAsia" w:ascii="宋体" w:hAnsi="宋体"/>
                <w:color w:val="000000"/>
                <w:sz w:val="18"/>
                <w:szCs w:val="18"/>
              </w:rPr>
            </w:pPr>
          </w:p>
        </w:tc>
        <w:tc>
          <w:tcPr>
            <w:tcW w:w="480" w:type="dxa"/>
            <w:noWrap w:val="0"/>
            <w:vAlign w:val="center"/>
          </w:tcPr>
          <w:p>
            <w:pPr>
              <w:widowControl/>
              <w:textAlignment w:val="center"/>
              <w:rPr>
                <w:rFonts w:hint="eastAsia" w:ascii="宋体" w:hAnsi="宋体"/>
                <w:color w:val="000000"/>
                <w:sz w:val="18"/>
                <w:szCs w:val="18"/>
              </w:rPr>
            </w:pPr>
          </w:p>
        </w:tc>
        <w:tc>
          <w:tcPr>
            <w:tcW w:w="919"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126002</w:t>
            </w: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百色市群众工作服务中心</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145.88</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145.88</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134.88</w:t>
            </w:r>
          </w:p>
        </w:tc>
        <w:tc>
          <w:tcPr>
            <w:tcW w:w="1843"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11</w:t>
            </w: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201</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40</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50</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事业运行</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103.84</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103.84</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92.84</w:t>
            </w:r>
          </w:p>
        </w:tc>
        <w:tc>
          <w:tcPr>
            <w:tcW w:w="1843"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11</w:t>
            </w: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机关事业单位基本养老保险缴费支出</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16.53</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16.53</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16.53</w:t>
            </w: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06</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机关事业单位职业年金缴费支出</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8.27</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8.27</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8.27</w:t>
            </w: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210</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11</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事业单位医疗</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4.85</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4.85</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4.85</w:t>
            </w: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221</w:t>
            </w:r>
          </w:p>
        </w:tc>
        <w:tc>
          <w:tcPr>
            <w:tcW w:w="495"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480" w:type="dxa"/>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919" w:type="dxa"/>
            <w:noWrap w:val="0"/>
            <w:vAlign w:val="center"/>
          </w:tcPr>
          <w:p>
            <w:pPr>
              <w:widowControl/>
              <w:textAlignment w:val="center"/>
              <w:rPr>
                <w:rFonts w:hint="eastAsia" w:ascii="宋体" w:hAnsi="宋体"/>
                <w:color w:val="00000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住房公积金</w:t>
            </w:r>
          </w:p>
        </w:tc>
        <w:tc>
          <w:tcPr>
            <w:tcW w:w="1704" w:type="dxa"/>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12.4</w:t>
            </w:r>
          </w:p>
        </w:tc>
        <w:tc>
          <w:tcPr>
            <w:tcW w:w="2080"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12.4</w:t>
            </w:r>
          </w:p>
        </w:tc>
        <w:tc>
          <w:tcPr>
            <w:tcW w:w="2126"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12.4</w:t>
            </w:r>
          </w:p>
        </w:tc>
        <w:tc>
          <w:tcPr>
            <w:tcW w:w="1843" w:type="dxa"/>
            <w:noWrap w:val="0"/>
            <w:vAlign w:val="center"/>
          </w:tcPr>
          <w:p>
            <w:pPr>
              <w:jc w:val="right"/>
              <w:rPr>
                <w:rFonts w:hint="eastAsia" w:ascii="宋体" w:hAnsi="宋体"/>
                <w:color w:val="000000"/>
                <w:sz w:val="18"/>
                <w:szCs w:val="18"/>
              </w:rPr>
            </w:pPr>
          </w:p>
        </w:tc>
        <w:tc>
          <w:tcPr>
            <w:tcW w:w="1559"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pPr>
              <w:rPr>
                <w:rFonts w:hint="eastAsia" w:ascii="宋体" w:hAnsi="宋体"/>
                <w:color w:val="000000"/>
                <w:kern w:val="0"/>
                <w:sz w:val="18"/>
                <w:szCs w:val="18"/>
              </w:rPr>
            </w:pPr>
          </w:p>
        </w:tc>
        <w:tc>
          <w:tcPr>
            <w:tcW w:w="495" w:type="dxa"/>
            <w:noWrap w:val="0"/>
            <w:vAlign w:val="center"/>
          </w:tcPr>
          <w:p>
            <w:pPr>
              <w:rPr>
                <w:rFonts w:hint="eastAsia" w:ascii="宋体" w:hAnsi="宋体"/>
                <w:color w:val="000000"/>
                <w:kern w:val="0"/>
                <w:sz w:val="18"/>
                <w:szCs w:val="18"/>
              </w:rPr>
            </w:pPr>
          </w:p>
        </w:tc>
        <w:tc>
          <w:tcPr>
            <w:tcW w:w="480" w:type="dxa"/>
            <w:noWrap w:val="0"/>
            <w:vAlign w:val="center"/>
          </w:tcPr>
          <w:p>
            <w:pPr>
              <w:rPr>
                <w:rFonts w:hint="eastAsia" w:ascii="宋体" w:hAnsi="宋体"/>
                <w:color w:val="000000"/>
                <w:kern w:val="0"/>
                <w:sz w:val="18"/>
                <w:szCs w:val="18"/>
              </w:rPr>
            </w:pPr>
          </w:p>
        </w:tc>
        <w:tc>
          <w:tcPr>
            <w:tcW w:w="919" w:type="dxa"/>
            <w:noWrap w:val="0"/>
            <w:vAlign w:val="center"/>
          </w:tcPr>
          <w:p>
            <w:pPr>
              <w:rPr>
                <w:rFonts w:hint="eastAsia" w:ascii="宋体" w:hAnsi="宋体"/>
                <w:color w:val="000000"/>
                <w:kern w:val="0"/>
                <w:sz w:val="18"/>
                <w:szCs w:val="18"/>
              </w:rPr>
            </w:pPr>
          </w:p>
        </w:tc>
        <w:tc>
          <w:tcPr>
            <w:tcW w:w="2717" w:type="dxa"/>
            <w:noWrap w:val="0"/>
            <w:vAlign w:val="center"/>
          </w:tcPr>
          <w:p>
            <w:pPr>
              <w:widowControl/>
              <w:jc w:val="left"/>
              <w:textAlignment w:val="center"/>
              <w:rPr>
                <w:rFonts w:hint="eastAsia" w:ascii="宋体" w:hAnsi="宋体"/>
                <w:color w:val="000000"/>
                <w:kern w:val="0"/>
                <w:sz w:val="18"/>
                <w:szCs w:val="18"/>
              </w:rPr>
            </w:pPr>
          </w:p>
        </w:tc>
        <w:tc>
          <w:tcPr>
            <w:tcW w:w="1704" w:type="dxa"/>
            <w:noWrap w:val="0"/>
            <w:vAlign w:val="center"/>
          </w:tcPr>
          <w:p>
            <w:pPr>
              <w:widowControl/>
              <w:jc w:val="right"/>
              <w:textAlignment w:val="center"/>
              <w:rPr>
                <w:rFonts w:hint="eastAsia" w:ascii="宋体" w:hAnsi="宋体"/>
                <w:color w:val="000000"/>
                <w:kern w:val="0"/>
                <w:sz w:val="18"/>
                <w:szCs w:val="18"/>
              </w:rPr>
            </w:pPr>
          </w:p>
        </w:tc>
        <w:tc>
          <w:tcPr>
            <w:tcW w:w="2080" w:type="dxa"/>
            <w:noWrap w:val="0"/>
            <w:vAlign w:val="center"/>
          </w:tcPr>
          <w:p>
            <w:pPr>
              <w:widowControl/>
              <w:jc w:val="right"/>
              <w:textAlignment w:val="center"/>
              <w:rPr>
                <w:rFonts w:hint="eastAsia" w:ascii="宋体" w:hAnsi="宋体"/>
                <w:color w:val="000000"/>
                <w:sz w:val="18"/>
                <w:szCs w:val="18"/>
              </w:rPr>
            </w:pPr>
          </w:p>
        </w:tc>
        <w:tc>
          <w:tcPr>
            <w:tcW w:w="2126" w:type="dxa"/>
            <w:noWrap w:val="0"/>
            <w:vAlign w:val="center"/>
          </w:tcPr>
          <w:p>
            <w:pPr>
              <w:widowControl/>
              <w:jc w:val="right"/>
              <w:textAlignment w:val="center"/>
              <w:rPr>
                <w:rFonts w:hint="eastAsia" w:ascii="宋体" w:hAnsi="宋体"/>
                <w:color w:val="000000"/>
                <w:sz w:val="18"/>
                <w:szCs w:val="18"/>
              </w:rPr>
            </w:pPr>
          </w:p>
        </w:tc>
        <w:tc>
          <w:tcPr>
            <w:tcW w:w="1843" w:type="dxa"/>
            <w:noWrap w:val="0"/>
            <w:vAlign w:val="center"/>
          </w:tcPr>
          <w:p>
            <w:pPr>
              <w:widowControl/>
              <w:jc w:val="right"/>
              <w:textAlignment w:val="center"/>
              <w:rPr>
                <w:rFonts w:hint="eastAsia" w:ascii="宋体" w:hAnsi="宋体"/>
                <w:color w:val="000000"/>
                <w:sz w:val="18"/>
                <w:szCs w:val="18"/>
              </w:rPr>
            </w:pPr>
          </w:p>
        </w:tc>
        <w:tc>
          <w:tcPr>
            <w:tcW w:w="1559" w:type="dxa"/>
            <w:noWrap w:val="0"/>
            <w:vAlign w:val="center"/>
          </w:tcPr>
          <w:p>
            <w:pPr>
              <w:jc w:val="right"/>
              <w:rPr>
                <w:rFonts w:hint="eastAsia" w:ascii="宋体" w:hAnsi="宋体"/>
                <w:color w:val="000000"/>
                <w:kern w:val="0"/>
                <w:sz w:val="18"/>
                <w:szCs w:val="18"/>
              </w:rPr>
            </w:pPr>
          </w:p>
        </w:tc>
      </w:tr>
      <w:bookmarkEnd w:id="22"/>
    </w:tbl>
    <w:p>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 报表金额单位转换时可能存在四舍五入尾数误差。</w:t>
      </w:r>
    </w:p>
    <w:p>
      <w:pPr>
        <w:rPr>
          <w:rFonts w:hint="eastAsia"/>
        </w:rPr>
        <w:sectPr>
          <w:pgSz w:w="16838" w:h="11906" w:orient="landscape"/>
          <w:pgMar w:top="1800" w:right="1440" w:bottom="1800" w:left="1440" w:header="851" w:footer="992" w:gutter="0"/>
          <w:cols w:space="720" w:num="1"/>
          <w:docGrid w:type="lines" w:linePitch="312" w:charSpace="0"/>
        </w:sectPr>
      </w:pPr>
    </w:p>
    <w:p>
      <w:pPr>
        <w:rPr>
          <w:rFonts w:hint="eastAsia"/>
        </w:rPr>
      </w:pPr>
      <w:bookmarkStart w:id="24" w:name="PO_part2Table6"/>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31"/>
        <w:gridCol w:w="3061"/>
        <w:gridCol w:w="3061"/>
        <w:gridCol w:w="1020"/>
        <w:gridCol w:w="2042"/>
        <w:gridCol w:w="3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7"/>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lang w:val="en-US" w:eastAsia="zh-CN"/>
              </w:rPr>
              <w:t>预算公开06</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7"/>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rPr>
              <w:t>一般公共预算基本支出情况表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203" w:type="dxa"/>
            <w:gridSpan w:val="5"/>
            <w:tcBorders>
              <w:top w:val="nil"/>
              <w:left w:val="nil"/>
              <w:bottom w:val="single" w:color="000000" w:sz="8"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5" w:name="PO_part2Table1DivName6"/>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百色市信访局</w:t>
            </w:r>
            <w:r>
              <w:rPr>
                <w:rFonts w:hint="eastAsia" w:ascii="宋体" w:hAnsi="宋体"/>
                <w:color w:val="000000"/>
                <w:kern w:val="0"/>
                <w:sz w:val="18"/>
                <w:szCs w:val="18"/>
              </w:rPr>
              <w:t xml:space="preserve">  </w:t>
            </w:r>
            <w:bookmarkEnd w:id="25"/>
          </w:p>
        </w:tc>
        <w:tc>
          <w:tcPr>
            <w:tcW w:w="5104" w:type="dxa"/>
            <w:gridSpan w:val="2"/>
            <w:tcBorders>
              <w:top w:val="nil"/>
              <w:left w:val="nil"/>
              <w:bottom w:val="single" w:color="000000" w:sz="8"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122" w:type="dxa"/>
            <w:gridSpan w:val="3"/>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部门预算支出经济分类科目</w:t>
            </w:r>
          </w:p>
        </w:tc>
        <w:tc>
          <w:tcPr>
            <w:tcW w:w="9185" w:type="dxa"/>
            <w:gridSpan w:val="4"/>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blHeader/>
        </w:trPr>
        <w:tc>
          <w:tcPr>
            <w:tcW w:w="1530" w:type="dxa"/>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类</w:t>
            </w:r>
          </w:p>
        </w:tc>
        <w:tc>
          <w:tcPr>
            <w:tcW w:w="1531" w:type="dxa"/>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款</w:t>
            </w:r>
          </w:p>
        </w:tc>
        <w:tc>
          <w:tcPr>
            <w:tcW w:w="3061" w:type="dxa"/>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科目名称</w:t>
            </w:r>
          </w:p>
        </w:tc>
        <w:tc>
          <w:tcPr>
            <w:tcW w:w="3061" w:type="dxa"/>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合计</w:t>
            </w:r>
          </w:p>
        </w:tc>
        <w:tc>
          <w:tcPr>
            <w:tcW w:w="3062" w:type="dxa"/>
            <w:gridSpan w:val="2"/>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人员经费</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blHeader/>
        </w:trPr>
        <w:tc>
          <w:tcPr>
            <w:tcW w:w="1530" w:type="dxa"/>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1531" w:type="dxa"/>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3061" w:type="dxa"/>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3061" w:type="dxa"/>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1</w:t>
            </w:r>
          </w:p>
        </w:tc>
        <w:tc>
          <w:tcPr>
            <w:tcW w:w="3062" w:type="dxa"/>
            <w:gridSpan w:val="2"/>
            <w:tcBorders>
              <w:top w:val="single" w:color="000000" w:sz="8" w:space="0"/>
              <w:left w:val="single" w:color="000000" w:sz="8" w:space="0"/>
              <w:right w:val="single" w:color="000000" w:sz="8" w:space="0"/>
            </w:tcBorders>
            <w:noWrap w:val="0"/>
            <w:vAlign w:val="center"/>
          </w:tcPr>
          <w:p>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合计</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393.45</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354.39</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39.06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工资福利支出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349.28</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349.28</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基本工资</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91.51</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91.51</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津贴补贴</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47.37</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47.37</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03</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奖金</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37.11</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37.11</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07</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绩效工资</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51.02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51.02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08</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机关事业单位基本养老保险缴费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37.71</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37.71</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09</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职业年金缴费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19.96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19.96</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10</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职工基本医疗保险缴费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12.04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12.04</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11</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公务员医疗补助缴费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3.99</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3.99</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12</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其他社会保障缴费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0.77</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0.77</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13</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住房公积金</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29.93</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29.93</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99</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其他工资福利支出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17.88</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17.88</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商品和服务支出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39.06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39.06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办公费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3.42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印刷费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1.5</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07</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邮电费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4.16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11</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差旅费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2.13</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15</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会议费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0.5</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17</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公务接待费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0.16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26</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劳务费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4.57</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29</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福利费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1.48</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39</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其他交通费用</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13.08</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13.08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99</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其他商品和服务支出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8.06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303</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对个人和家庭的补助</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5.11</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5.11</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303</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退休费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4.22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4.22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lang w:eastAsia="zh-CN"/>
              </w:rPr>
              <w:t>303</w:t>
            </w:r>
          </w:p>
        </w:tc>
        <w:tc>
          <w:tcPr>
            <w:tcW w:w="1531" w:type="dxa"/>
            <w:tcBorders>
              <w:left w:val="single" w:color="000000" w:sz="8" w:space="0"/>
              <w:right w:val="single" w:color="000000" w:sz="8" w:space="0"/>
            </w:tcBorders>
            <w:noWrap w:val="0"/>
            <w:vAlign w:val="center"/>
          </w:tcPr>
          <w:p>
            <w:pPr>
              <w:widowControl/>
              <w:textAlignment w:val="center"/>
              <w:rPr>
                <w:rFonts w:hint="eastAsia" w:ascii="宋体" w:hAnsi="宋体"/>
                <w:color w:val="000000"/>
                <w:sz w:val="18"/>
                <w:szCs w:val="18"/>
              </w:rPr>
            </w:pPr>
            <w:r>
              <w:rPr>
                <w:rFonts w:hint="eastAsia" w:ascii="宋体" w:hAnsi="宋体"/>
                <w:color w:val="000000"/>
                <w:sz w:val="18"/>
                <w:szCs w:val="18"/>
              </w:rPr>
              <w:t>07</w:t>
            </w:r>
          </w:p>
        </w:tc>
        <w:tc>
          <w:tcPr>
            <w:tcW w:w="3061" w:type="dxa"/>
            <w:tcBorders>
              <w:left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医疗费补助</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0.88</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r>
              <w:rPr>
                <w:rFonts w:hint="eastAsia" w:ascii="宋体" w:hAnsi="宋体"/>
                <w:color w:val="000000"/>
                <w:sz w:val="18"/>
                <w:szCs w:val="18"/>
              </w:rPr>
              <w:t>0.88</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bottom w:val="single" w:color="000000" w:sz="8" w:space="0"/>
              <w:right w:val="single" w:color="000000" w:sz="8" w:space="0"/>
            </w:tcBorders>
            <w:noWrap w:val="0"/>
            <w:vAlign w:val="center"/>
          </w:tcPr>
          <w:p>
            <w:pPr>
              <w:rPr>
                <w:rFonts w:hint="eastAsia" w:ascii="宋体" w:hAnsi="宋体"/>
                <w:color w:val="000000"/>
                <w:sz w:val="18"/>
                <w:szCs w:val="18"/>
              </w:rPr>
            </w:pPr>
          </w:p>
        </w:tc>
        <w:tc>
          <w:tcPr>
            <w:tcW w:w="1531" w:type="dxa"/>
            <w:tcBorders>
              <w:left w:val="single" w:color="000000" w:sz="8" w:space="0"/>
              <w:bottom w:val="single" w:color="000000" w:sz="8" w:space="0"/>
              <w:right w:val="single" w:color="000000" w:sz="8" w:space="0"/>
            </w:tcBorders>
            <w:noWrap w:val="0"/>
            <w:vAlign w:val="center"/>
          </w:tcPr>
          <w:p>
            <w:pPr>
              <w:rPr>
                <w:rFonts w:hint="eastAsia" w:ascii="宋体" w:hAnsi="宋体"/>
                <w:color w:val="000000"/>
                <w:sz w:val="18"/>
                <w:szCs w:val="18"/>
              </w:rPr>
            </w:pPr>
          </w:p>
        </w:tc>
        <w:tc>
          <w:tcPr>
            <w:tcW w:w="3061" w:type="dxa"/>
            <w:tcBorders>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color w:val="000000"/>
                <w:sz w:val="18"/>
                <w:szCs w:val="18"/>
              </w:rPr>
            </w:pPr>
          </w:p>
        </w:tc>
        <w:tc>
          <w:tcPr>
            <w:tcW w:w="3061"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pPr>
              <w:jc w:val="right"/>
              <w:rPr>
                <w:rFonts w:hint="eastAsia" w:ascii="宋体" w:hAnsi="宋体"/>
                <w:color w:val="000000"/>
                <w:sz w:val="18"/>
                <w:szCs w:val="18"/>
              </w:rPr>
            </w:pPr>
          </w:p>
        </w:tc>
      </w:tr>
    </w:tbl>
    <w:p>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 报表金额单位转换时可能存在四舍五入尾数误差。</w:t>
      </w:r>
      <w:bookmarkEnd w:id="24"/>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pPr>
        <w:rPr>
          <w:rFonts w:hint="eastAsia"/>
        </w:rPr>
      </w:pPr>
      <w:bookmarkStart w:id="26" w:name="PO_part2Table7"/>
    </w:p>
    <w:tbl>
      <w:tblPr>
        <w:tblStyle w:val="11"/>
        <w:tblW w:w="15030"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265"/>
        <w:gridCol w:w="1725"/>
        <w:gridCol w:w="1095"/>
        <w:gridCol w:w="1080"/>
        <w:gridCol w:w="855"/>
        <w:gridCol w:w="765"/>
        <w:gridCol w:w="1260"/>
        <w:gridCol w:w="1005"/>
        <w:gridCol w:w="795"/>
        <w:gridCol w:w="675"/>
        <w:gridCol w:w="750"/>
        <w:gridCol w:w="88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70" w:type="dxa"/>
            <w:gridSpan w:val="2"/>
            <w:tcBorders>
              <w:top w:val="nil"/>
              <w:left w:val="nil"/>
              <w:bottom w:val="nil"/>
              <w:right w:val="nil"/>
            </w:tcBorders>
            <w:noWrap w:val="0"/>
            <w:vAlign w:val="center"/>
          </w:tcPr>
          <w:p>
            <w:pPr>
              <w:jc w:val="right"/>
              <w:rPr>
                <w:rFonts w:hint="eastAsia" w:ascii="宋体" w:hAnsi="宋体"/>
                <w:color w:val="000000"/>
                <w:kern w:val="0"/>
                <w:sz w:val="18"/>
                <w:szCs w:val="18"/>
              </w:rPr>
            </w:pPr>
          </w:p>
        </w:tc>
        <w:tc>
          <w:tcPr>
            <w:tcW w:w="11760" w:type="dxa"/>
            <w:gridSpan w:val="12"/>
            <w:tcBorders>
              <w:top w:val="nil"/>
              <w:left w:val="nil"/>
              <w:bottom w:val="nil"/>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预算公开07</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030" w:type="dxa"/>
            <w:gridSpan w:val="14"/>
            <w:tcBorders>
              <w:top w:val="nil"/>
              <w:left w:val="nil"/>
              <w:bottom w:val="nil"/>
              <w:right w:val="nil"/>
            </w:tcBorders>
            <w:noWrap w:val="0"/>
            <w:vAlign w:val="center"/>
          </w:tcPr>
          <w:p>
            <w:pPr>
              <w:ind w:firstLine="522" w:firstLineChars="200"/>
              <w:jc w:val="center"/>
              <w:rPr>
                <w:rFonts w:hint="eastAsia" w:ascii="宋体" w:hAnsi="宋体"/>
                <w:b/>
                <w:bCs/>
                <w:color w:val="000000"/>
                <w:kern w:val="0"/>
                <w:sz w:val="26"/>
                <w:szCs w:val="26"/>
              </w:rPr>
            </w:pPr>
            <w:r>
              <w:rPr>
                <w:rFonts w:hint="eastAsia" w:ascii="宋体" w:hAnsi="宋体"/>
                <w:b/>
                <w:bCs/>
                <w:color w:val="000000"/>
                <w:kern w:val="0"/>
                <w:sz w:val="26"/>
                <w:szCs w:val="26"/>
              </w:rPr>
              <w:t>财政拨款“三公”经费、会议费和培训费支出情况表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995" w:type="dxa"/>
            <w:gridSpan w:val="3"/>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7" w:name="PO_part2Table1DivName7"/>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百色市信访局</w:t>
            </w:r>
            <w:r>
              <w:rPr>
                <w:rFonts w:hint="eastAsia" w:ascii="宋体" w:hAnsi="宋体"/>
                <w:color w:val="000000"/>
                <w:kern w:val="0"/>
                <w:sz w:val="18"/>
                <w:szCs w:val="18"/>
              </w:rPr>
              <w:t xml:space="preserve">  </w:t>
            </w:r>
            <w:bookmarkEnd w:id="27"/>
          </w:p>
        </w:tc>
        <w:tc>
          <w:tcPr>
            <w:tcW w:w="10035" w:type="dxa"/>
            <w:gridSpan w:val="11"/>
            <w:tcBorders>
              <w:top w:val="nil"/>
              <w:left w:val="nil"/>
              <w:bottom w:val="single" w:color="auto" w:sz="4" w:space="0"/>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restart"/>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部门（单位）代码</w:t>
            </w:r>
          </w:p>
        </w:tc>
        <w:tc>
          <w:tcPr>
            <w:tcW w:w="2265" w:type="dxa"/>
            <w:vMerge w:val="restart"/>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部门（单位）名称</w:t>
            </w:r>
          </w:p>
        </w:tc>
        <w:tc>
          <w:tcPr>
            <w:tcW w:w="1725" w:type="dxa"/>
            <w:vMerge w:val="restart"/>
            <w:tcBorders>
              <w:top w:val="single" w:color="auto" w:sz="4" w:space="0"/>
            </w:tcBorders>
            <w:noWrap w:val="0"/>
            <w:vAlign w:val="center"/>
          </w:tcPr>
          <w:p>
            <w:pPr>
              <w:jc w:val="left"/>
              <w:textAlignment w:val="center"/>
              <w:rPr>
                <w:rFonts w:hint="eastAsia" w:ascii="宋体" w:hAnsi="宋体"/>
                <w:color w:val="000000"/>
                <w:sz w:val="18"/>
                <w:szCs w:val="18"/>
              </w:rPr>
            </w:pPr>
            <w:r>
              <w:rPr>
                <w:rFonts w:hint="eastAsia" w:ascii="宋体" w:hAnsi="宋体"/>
                <w:color w:val="000000"/>
                <w:sz w:val="18"/>
                <w:szCs w:val="18"/>
              </w:rPr>
              <w:t>资金性质</w:t>
            </w:r>
          </w:p>
        </w:tc>
        <w:tc>
          <w:tcPr>
            <w:tcW w:w="1095" w:type="dxa"/>
            <w:vMerge w:val="restart"/>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总计</w:t>
            </w:r>
          </w:p>
        </w:tc>
        <w:tc>
          <w:tcPr>
            <w:tcW w:w="5760" w:type="dxa"/>
            <w:gridSpan w:val="6"/>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“三公”经费</w:t>
            </w:r>
          </w:p>
        </w:tc>
        <w:tc>
          <w:tcPr>
            <w:tcW w:w="675" w:type="dxa"/>
            <w:vMerge w:val="restart"/>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会议费</w:t>
            </w:r>
          </w:p>
        </w:tc>
        <w:tc>
          <w:tcPr>
            <w:tcW w:w="2505" w:type="dxa"/>
            <w:gridSpan w:val="3"/>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培训费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pPr>
              <w:jc w:val="center"/>
              <w:rPr>
                <w:rFonts w:hint="eastAsia" w:ascii="宋体" w:hAnsi="宋体"/>
                <w:color w:val="000000"/>
                <w:sz w:val="18"/>
                <w:szCs w:val="18"/>
              </w:rPr>
            </w:pPr>
          </w:p>
        </w:tc>
        <w:tc>
          <w:tcPr>
            <w:tcW w:w="2265" w:type="dxa"/>
            <w:vMerge w:val="continue"/>
            <w:noWrap w:val="0"/>
            <w:vAlign w:val="center"/>
          </w:tcPr>
          <w:p>
            <w:pPr>
              <w:jc w:val="left"/>
              <w:textAlignment w:val="center"/>
              <w:rPr>
                <w:rFonts w:hint="eastAsia" w:ascii="宋体" w:hAnsi="宋体"/>
                <w:color w:val="000000"/>
                <w:sz w:val="18"/>
                <w:szCs w:val="18"/>
              </w:rPr>
            </w:pPr>
          </w:p>
        </w:tc>
        <w:tc>
          <w:tcPr>
            <w:tcW w:w="1725" w:type="dxa"/>
            <w:vMerge w:val="continue"/>
            <w:noWrap w:val="0"/>
            <w:vAlign w:val="center"/>
          </w:tcPr>
          <w:p>
            <w:pPr>
              <w:jc w:val="left"/>
              <w:textAlignment w:val="center"/>
              <w:rPr>
                <w:rFonts w:hint="eastAsia" w:ascii="宋体" w:hAnsi="宋体"/>
                <w:color w:val="000000"/>
                <w:sz w:val="18"/>
                <w:szCs w:val="18"/>
              </w:rPr>
            </w:pPr>
          </w:p>
        </w:tc>
        <w:tc>
          <w:tcPr>
            <w:tcW w:w="1095" w:type="dxa"/>
            <w:vMerge w:val="continue"/>
            <w:noWrap w:val="0"/>
            <w:vAlign w:val="center"/>
          </w:tcPr>
          <w:p>
            <w:pPr>
              <w:jc w:val="center"/>
              <w:rPr>
                <w:rFonts w:hint="eastAsia" w:ascii="宋体" w:hAnsi="宋体"/>
                <w:color w:val="000000"/>
                <w:sz w:val="18"/>
                <w:szCs w:val="18"/>
              </w:rPr>
            </w:pPr>
          </w:p>
        </w:tc>
        <w:tc>
          <w:tcPr>
            <w:tcW w:w="1080" w:type="dxa"/>
            <w:vMerge w:val="restart"/>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合计</w:t>
            </w:r>
          </w:p>
        </w:tc>
        <w:tc>
          <w:tcPr>
            <w:tcW w:w="855" w:type="dxa"/>
            <w:vMerge w:val="restart"/>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因公出国（境）费</w:t>
            </w:r>
          </w:p>
        </w:tc>
        <w:tc>
          <w:tcPr>
            <w:tcW w:w="3030" w:type="dxa"/>
            <w:gridSpan w:val="3"/>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公务用车购置及运行维护费</w:t>
            </w:r>
          </w:p>
        </w:tc>
        <w:tc>
          <w:tcPr>
            <w:tcW w:w="795" w:type="dxa"/>
            <w:vMerge w:val="restart"/>
            <w:tcBorders>
              <w:top w:val="single" w:color="auto" w:sz="4" w:space="0"/>
            </w:tcBorders>
            <w:noWrap w:val="0"/>
            <w:vAlign w:val="center"/>
          </w:tcPr>
          <w:p>
            <w:pPr>
              <w:jc w:val="center"/>
              <w:rPr>
                <w:rFonts w:ascii="宋体" w:hAnsi="宋体"/>
                <w:color w:val="000000"/>
                <w:sz w:val="18"/>
                <w:szCs w:val="18"/>
              </w:rPr>
            </w:pPr>
            <w:r>
              <w:rPr>
                <w:rFonts w:hint="eastAsia" w:ascii="宋体" w:hAnsi="宋体"/>
                <w:color w:val="000000"/>
                <w:sz w:val="18"/>
                <w:szCs w:val="18"/>
              </w:rPr>
              <w:t>公务接待费</w:t>
            </w:r>
          </w:p>
        </w:tc>
        <w:tc>
          <w:tcPr>
            <w:tcW w:w="675" w:type="dxa"/>
            <w:vMerge w:val="continue"/>
            <w:noWrap w:val="0"/>
            <w:vAlign w:val="center"/>
          </w:tcPr>
          <w:p>
            <w:pPr>
              <w:jc w:val="center"/>
              <w:textAlignment w:val="center"/>
              <w:rPr>
                <w:rFonts w:hint="eastAsia" w:ascii="宋体" w:hAnsi="宋体"/>
                <w:color w:val="000000"/>
                <w:sz w:val="18"/>
                <w:szCs w:val="18"/>
              </w:rPr>
            </w:pPr>
          </w:p>
        </w:tc>
        <w:tc>
          <w:tcPr>
            <w:tcW w:w="750" w:type="dxa"/>
            <w:vMerge w:val="restart"/>
            <w:noWrap w:val="0"/>
            <w:vAlign w:val="center"/>
          </w:tcPr>
          <w:p>
            <w:pPr>
              <w:jc w:val="center"/>
              <w:textAlignment w:val="center"/>
              <w:rPr>
                <w:rFonts w:hint="eastAsia" w:ascii="宋体" w:hAnsi="宋体"/>
                <w:color w:val="000000"/>
                <w:sz w:val="18"/>
                <w:szCs w:val="18"/>
              </w:rPr>
            </w:pPr>
            <w:r>
              <w:rPr>
                <w:rFonts w:hint="eastAsia" w:ascii="宋体" w:hAnsi="宋体"/>
                <w:color w:val="000000"/>
                <w:sz w:val="18"/>
                <w:szCs w:val="18"/>
              </w:rPr>
              <w:t>小计</w:t>
            </w:r>
          </w:p>
        </w:tc>
        <w:tc>
          <w:tcPr>
            <w:tcW w:w="885" w:type="dxa"/>
            <w:vMerge w:val="restart"/>
            <w:noWrap w:val="0"/>
            <w:vAlign w:val="center"/>
          </w:tcPr>
          <w:p>
            <w:pPr>
              <w:jc w:val="center"/>
              <w:textAlignment w:val="center"/>
              <w:rPr>
                <w:rFonts w:hint="eastAsia" w:ascii="宋体" w:hAnsi="宋体"/>
                <w:color w:val="000000"/>
                <w:sz w:val="18"/>
                <w:szCs w:val="18"/>
              </w:rPr>
            </w:pPr>
            <w:r>
              <w:rPr>
                <w:rFonts w:hint="eastAsia" w:ascii="宋体" w:hAnsi="宋体"/>
                <w:color w:val="000000"/>
                <w:sz w:val="18"/>
                <w:szCs w:val="18"/>
              </w:rPr>
              <w:t>本级资金安排</w:t>
            </w:r>
          </w:p>
        </w:tc>
        <w:tc>
          <w:tcPr>
            <w:tcW w:w="870" w:type="dxa"/>
            <w:vMerge w:val="restart"/>
            <w:noWrap w:val="0"/>
            <w:vAlign w:val="center"/>
          </w:tcPr>
          <w:p>
            <w:pPr>
              <w:jc w:val="center"/>
              <w:textAlignment w:val="center"/>
              <w:rPr>
                <w:rFonts w:hint="eastAsia" w:ascii="宋体" w:hAnsi="宋体"/>
                <w:color w:val="000000"/>
                <w:sz w:val="18"/>
                <w:szCs w:val="18"/>
              </w:rPr>
            </w:pPr>
            <w:r>
              <w:rPr>
                <w:rFonts w:hint="eastAsia" w:ascii="宋体" w:hAnsi="宋体"/>
                <w:color w:val="000000"/>
                <w:sz w:val="18"/>
                <w:szCs w:val="18"/>
              </w:rPr>
              <w:t>上级补助资金安排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pPr>
              <w:jc w:val="center"/>
              <w:rPr>
                <w:rFonts w:hint="eastAsia" w:ascii="宋体" w:hAnsi="宋体"/>
                <w:color w:val="000000"/>
                <w:sz w:val="18"/>
                <w:szCs w:val="18"/>
              </w:rPr>
            </w:pPr>
          </w:p>
        </w:tc>
        <w:tc>
          <w:tcPr>
            <w:tcW w:w="2265" w:type="dxa"/>
            <w:vMerge w:val="continue"/>
            <w:noWrap w:val="0"/>
            <w:vAlign w:val="center"/>
          </w:tcPr>
          <w:p>
            <w:pPr>
              <w:jc w:val="left"/>
              <w:textAlignment w:val="center"/>
              <w:rPr>
                <w:rFonts w:hint="eastAsia" w:ascii="宋体" w:hAnsi="宋体"/>
                <w:color w:val="000000"/>
                <w:sz w:val="18"/>
                <w:szCs w:val="18"/>
              </w:rPr>
            </w:pPr>
          </w:p>
        </w:tc>
        <w:tc>
          <w:tcPr>
            <w:tcW w:w="1725" w:type="dxa"/>
            <w:vMerge w:val="continue"/>
            <w:noWrap w:val="0"/>
            <w:vAlign w:val="center"/>
          </w:tcPr>
          <w:p>
            <w:pPr>
              <w:jc w:val="left"/>
              <w:textAlignment w:val="center"/>
              <w:rPr>
                <w:rFonts w:hint="eastAsia" w:ascii="宋体" w:hAnsi="宋体"/>
                <w:color w:val="000000"/>
                <w:sz w:val="18"/>
                <w:szCs w:val="18"/>
              </w:rPr>
            </w:pPr>
          </w:p>
        </w:tc>
        <w:tc>
          <w:tcPr>
            <w:tcW w:w="1095" w:type="dxa"/>
            <w:vMerge w:val="continue"/>
            <w:noWrap w:val="0"/>
            <w:vAlign w:val="center"/>
          </w:tcPr>
          <w:p>
            <w:pPr>
              <w:jc w:val="center"/>
              <w:rPr>
                <w:rFonts w:hint="eastAsia" w:ascii="宋体" w:hAnsi="宋体"/>
                <w:color w:val="000000"/>
                <w:sz w:val="18"/>
                <w:szCs w:val="18"/>
              </w:rPr>
            </w:pPr>
          </w:p>
        </w:tc>
        <w:tc>
          <w:tcPr>
            <w:tcW w:w="1080" w:type="dxa"/>
            <w:vMerge w:val="continue"/>
            <w:noWrap w:val="0"/>
            <w:vAlign w:val="center"/>
          </w:tcPr>
          <w:p>
            <w:pPr>
              <w:jc w:val="center"/>
              <w:rPr>
                <w:rFonts w:hint="eastAsia" w:ascii="宋体" w:hAnsi="宋体"/>
                <w:color w:val="000000"/>
                <w:sz w:val="18"/>
                <w:szCs w:val="18"/>
              </w:rPr>
            </w:pPr>
          </w:p>
        </w:tc>
        <w:tc>
          <w:tcPr>
            <w:tcW w:w="855" w:type="dxa"/>
            <w:vMerge w:val="continue"/>
            <w:noWrap w:val="0"/>
            <w:vAlign w:val="center"/>
          </w:tcPr>
          <w:p>
            <w:pPr>
              <w:jc w:val="center"/>
              <w:rPr>
                <w:rFonts w:hint="eastAsia" w:ascii="宋体" w:hAnsi="宋体"/>
                <w:color w:val="000000"/>
                <w:sz w:val="18"/>
                <w:szCs w:val="18"/>
              </w:rPr>
            </w:pPr>
          </w:p>
        </w:tc>
        <w:tc>
          <w:tcPr>
            <w:tcW w:w="765" w:type="dxa"/>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小计</w:t>
            </w:r>
          </w:p>
        </w:tc>
        <w:tc>
          <w:tcPr>
            <w:tcW w:w="1260" w:type="dxa"/>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公务用车运行维护费</w:t>
            </w:r>
          </w:p>
        </w:tc>
        <w:tc>
          <w:tcPr>
            <w:tcW w:w="1005" w:type="dxa"/>
            <w:tcBorders>
              <w:top w:val="single" w:color="auto" w:sz="4"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公务用车购置费</w:t>
            </w:r>
          </w:p>
        </w:tc>
        <w:tc>
          <w:tcPr>
            <w:tcW w:w="795" w:type="dxa"/>
            <w:vMerge w:val="continue"/>
            <w:noWrap w:val="0"/>
            <w:vAlign w:val="center"/>
          </w:tcPr>
          <w:p>
            <w:pPr>
              <w:jc w:val="center"/>
              <w:rPr>
                <w:rFonts w:hint="eastAsia" w:ascii="宋体" w:hAnsi="宋体"/>
                <w:color w:val="000000"/>
                <w:sz w:val="18"/>
                <w:szCs w:val="18"/>
              </w:rPr>
            </w:pPr>
          </w:p>
        </w:tc>
        <w:tc>
          <w:tcPr>
            <w:tcW w:w="675" w:type="dxa"/>
            <w:vMerge w:val="continue"/>
            <w:noWrap w:val="0"/>
            <w:vAlign w:val="center"/>
          </w:tcPr>
          <w:p>
            <w:pPr>
              <w:jc w:val="center"/>
              <w:textAlignment w:val="center"/>
              <w:rPr>
                <w:rFonts w:hint="eastAsia" w:ascii="宋体" w:hAnsi="宋体"/>
                <w:color w:val="000000"/>
                <w:sz w:val="18"/>
                <w:szCs w:val="18"/>
              </w:rPr>
            </w:pPr>
          </w:p>
        </w:tc>
        <w:tc>
          <w:tcPr>
            <w:tcW w:w="750" w:type="dxa"/>
            <w:vMerge w:val="continue"/>
            <w:noWrap w:val="0"/>
            <w:vAlign w:val="center"/>
          </w:tcPr>
          <w:p>
            <w:pPr>
              <w:jc w:val="center"/>
              <w:textAlignment w:val="center"/>
              <w:rPr>
                <w:rFonts w:hint="eastAsia" w:ascii="宋体" w:hAnsi="宋体"/>
                <w:color w:val="000000"/>
                <w:sz w:val="18"/>
                <w:szCs w:val="18"/>
              </w:rPr>
            </w:pPr>
          </w:p>
        </w:tc>
        <w:tc>
          <w:tcPr>
            <w:tcW w:w="885" w:type="dxa"/>
            <w:vMerge w:val="continue"/>
            <w:noWrap w:val="0"/>
            <w:vAlign w:val="center"/>
          </w:tcPr>
          <w:p>
            <w:pPr>
              <w:jc w:val="center"/>
              <w:textAlignment w:val="center"/>
              <w:rPr>
                <w:rFonts w:hint="eastAsia" w:ascii="宋体" w:hAnsi="宋体"/>
                <w:color w:val="000000"/>
                <w:sz w:val="18"/>
                <w:szCs w:val="18"/>
              </w:rPr>
            </w:pPr>
          </w:p>
        </w:tc>
        <w:tc>
          <w:tcPr>
            <w:tcW w:w="870" w:type="dxa"/>
            <w:vMerge w:val="continue"/>
            <w:noWrap w:val="0"/>
            <w:vAlign w:val="center"/>
          </w:tcPr>
          <w:p>
            <w:pPr>
              <w:jc w:val="center"/>
              <w:textAlignment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pPr>
              <w:jc w:val="center"/>
              <w:rPr>
                <w:rFonts w:hint="eastAsia" w:ascii="宋体" w:hAnsi="宋体"/>
                <w:color w:val="000000"/>
                <w:sz w:val="18"/>
                <w:szCs w:val="18"/>
              </w:rPr>
            </w:pPr>
          </w:p>
        </w:tc>
        <w:tc>
          <w:tcPr>
            <w:tcW w:w="2265" w:type="dxa"/>
            <w:vMerge w:val="continue"/>
            <w:noWrap w:val="0"/>
            <w:vAlign w:val="center"/>
          </w:tcPr>
          <w:p>
            <w:pPr>
              <w:jc w:val="left"/>
              <w:textAlignment w:val="center"/>
              <w:rPr>
                <w:rFonts w:hint="eastAsia" w:ascii="宋体" w:hAnsi="宋体"/>
                <w:color w:val="000000"/>
                <w:sz w:val="18"/>
                <w:szCs w:val="18"/>
              </w:rPr>
            </w:pPr>
          </w:p>
        </w:tc>
        <w:tc>
          <w:tcPr>
            <w:tcW w:w="1725" w:type="dxa"/>
            <w:vMerge w:val="continue"/>
            <w:noWrap w:val="0"/>
            <w:vAlign w:val="center"/>
          </w:tcPr>
          <w:p>
            <w:pPr>
              <w:jc w:val="left"/>
              <w:textAlignment w:val="center"/>
              <w:rPr>
                <w:rFonts w:hint="eastAsia" w:ascii="宋体" w:hAnsi="宋体"/>
                <w:color w:val="000000"/>
                <w:sz w:val="18"/>
                <w:szCs w:val="18"/>
              </w:rPr>
            </w:pPr>
          </w:p>
        </w:tc>
        <w:tc>
          <w:tcPr>
            <w:tcW w:w="1095" w:type="dxa"/>
            <w:noWrap w:val="0"/>
            <w:vAlign w:val="center"/>
          </w:tcPr>
          <w:p>
            <w:pPr>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1</w:t>
            </w:r>
          </w:p>
        </w:tc>
        <w:tc>
          <w:tcPr>
            <w:tcW w:w="1080" w:type="dxa"/>
            <w:noWrap w:val="0"/>
            <w:vAlign w:val="center"/>
          </w:tcPr>
          <w:p>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2</w:t>
            </w:r>
          </w:p>
        </w:tc>
        <w:tc>
          <w:tcPr>
            <w:tcW w:w="855" w:type="dxa"/>
            <w:noWrap w:val="0"/>
            <w:vAlign w:val="center"/>
          </w:tcPr>
          <w:p>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3</w:t>
            </w:r>
          </w:p>
        </w:tc>
        <w:tc>
          <w:tcPr>
            <w:tcW w:w="765" w:type="dxa"/>
            <w:tcBorders>
              <w:top w:val="single" w:color="auto" w:sz="4" w:space="0"/>
            </w:tcBorders>
            <w:noWrap w:val="0"/>
            <w:vAlign w:val="center"/>
          </w:tcPr>
          <w:p>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4</w:t>
            </w:r>
          </w:p>
        </w:tc>
        <w:tc>
          <w:tcPr>
            <w:tcW w:w="1260" w:type="dxa"/>
            <w:tcBorders>
              <w:top w:val="single" w:color="auto" w:sz="4" w:space="0"/>
            </w:tcBorders>
            <w:noWrap w:val="0"/>
            <w:vAlign w:val="center"/>
          </w:tcPr>
          <w:p>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5</w:t>
            </w:r>
          </w:p>
        </w:tc>
        <w:tc>
          <w:tcPr>
            <w:tcW w:w="1005" w:type="dxa"/>
            <w:tcBorders>
              <w:top w:val="single" w:color="auto" w:sz="4" w:space="0"/>
            </w:tcBorders>
            <w:noWrap w:val="0"/>
            <w:vAlign w:val="center"/>
          </w:tcPr>
          <w:p>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6</w:t>
            </w:r>
          </w:p>
        </w:tc>
        <w:tc>
          <w:tcPr>
            <w:tcW w:w="795" w:type="dxa"/>
            <w:noWrap w:val="0"/>
            <w:vAlign w:val="center"/>
          </w:tcPr>
          <w:p>
            <w:pPr>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7</w:t>
            </w:r>
          </w:p>
        </w:tc>
        <w:tc>
          <w:tcPr>
            <w:tcW w:w="675" w:type="dxa"/>
            <w:noWrap w:val="0"/>
            <w:vAlign w:val="center"/>
          </w:tcPr>
          <w:p>
            <w:pPr>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8</w:t>
            </w:r>
          </w:p>
        </w:tc>
        <w:tc>
          <w:tcPr>
            <w:tcW w:w="750" w:type="dxa"/>
            <w:noWrap w:val="0"/>
            <w:vAlign w:val="center"/>
          </w:tcPr>
          <w:p>
            <w:pPr>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9</w:t>
            </w:r>
          </w:p>
        </w:tc>
        <w:tc>
          <w:tcPr>
            <w:tcW w:w="885" w:type="dxa"/>
            <w:noWrap w:val="0"/>
            <w:vAlign w:val="center"/>
          </w:tcPr>
          <w:p>
            <w:pPr>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10</w:t>
            </w:r>
          </w:p>
        </w:tc>
        <w:tc>
          <w:tcPr>
            <w:tcW w:w="870" w:type="dxa"/>
            <w:noWrap w:val="0"/>
            <w:vAlign w:val="center"/>
          </w:tcPr>
          <w:p>
            <w:pPr>
              <w:jc w:val="center"/>
              <w:textAlignment w:val="center"/>
              <w:rPr>
                <w:rFonts w:hint="eastAsia" w:ascii="宋体" w:hAnsi="宋体" w:eastAsia="宋体"/>
                <w:color w:val="000000"/>
                <w:sz w:val="18"/>
                <w:szCs w:val="18"/>
                <w:lang w:val="en-US" w:eastAsia="zh-CN"/>
              </w:rPr>
            </w:pPr>
            <w:r>
              <w:rPr>
                <w:rFonts w:ascii="宋体" w:hAnsi="宋体"/>
                <w:color w:val="000000"/>
                <w:sz w:val="18"/>
                <w:szCs w:val="18"/>
              </w:rPr>
              <w:t>1</w:t>
            </w:r>
            <w:r>
              <w:rPr>
                <w:rFonts w:hint="eastAsia" w:ascii="宋体" w:hAnsi="宋体"/>
                <w:color w:val="00000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05" w:type="dxa"/>
            <w:noWrap w:val="0"/>
            <w:vAlign w:val="center"/>
          </w:tcPr>
          <w:p>
            <w:pPr>
              <w:widowControl/>
              <w:jc w:val="left"/>
              <w:textAlignment w:val="center"/>
              <w:rPr>
                <w:rFonts w:hint="eastAsia" w:ascii="宋体" w:hAnsi="宋体"/>
                <w:color w:val="000000"/>
                <w:sz w:val="18"/>
                <w:szCs w:val="18"/>
              </w:rPr>
            </w:pPr>
          </w:p>
        </w:tc>
        <w:tc>
          <w:tcPr>
            <w:tcW w:w="2265" w:type="dxa"/>
            <w:noWrap w:val="0"/>
            <w:vAlign w:val="center"/>
          </w:tcPr>
          <w:p>
            <w:pPr>
              <w:jc w:val="left"/>
              <w:textAlignment w:val="center"/>
              <w:rPr>
                <w:rFonts w:hint="eastAsia" w:ascii="宋体" w:hAnsi="宋体"/>
                <w:color w:val="000000"/>
                <w:sz w:val="18"/>
                <w:szCs w:val="18"/>
              </w:rPr>
            </w:pPr>
            <w:r>
              <w:rPr>
                <w:rFonts w:hint="eastAsia" w:ascii="宋体" w:hAnsi="宋体"/>
                <w:color w:val="000000"/>
                <w:sz w:val="18"/>
                <w:szCs w:val="18"/>
              </w:rPr>
              <w:t>合计</w:t>
            </w:r>
          </w:p>
        </w:tc>
        <w:tc>
          <w:tcPr>
            <w:tcW w:w="1725" w:type="dxa"/>
            <w:noWrap w:val="0"/>
            <w:vAlign w:val="center"/>
          </w:tcPr>
          <w:p>
            <w:pPr>
              <w:jc w:val="left"/>
              <w:textAlignment w:val="center"/>
              <w:rPr>
                <w:rFonts w:hint="eastAsia" w:ascii="宋体" w:hAnsi="宋体"/>
                <w:color w:val="000000"/>
                <w:sz w:val="18"/>
                <w:szCs w:val="18"/>
              </w:rPr>
            </w:pPr>
          </w:p>
        </w:tc>
        <w:tc>
          <w:tcPr>
            <w:tcW w:w="1095" w:type="dxa"/>
            <w:noWrap w:val="0"/>
            <w:vAlign w:val="center"/>
          </w:tcPr>
          <w:p>
            <w:pPr>
              <w:widowControl/>
              <w:jc w:val="right"/>
              <w:textAlignment w:val="center"/>
              <w:rPr>
                <w:rFonts w:hint="eastAsia" w:ascii="宋体" w:hAnsi="宋体"/>
                <w:color w:val="000000"/>
                <w:sz w:val="18"/>
                <w:szCs w:val="18"/>
              </w:rPr>
            </w:pPr>
            <w:r>
              <w:rPr>
                <w:rFonts w:hint="eastAsia" w:ascii="宋体" w:hAnsi="宋体"/>
                <w:color w:val="000000"/>
                <w:sz w:val="18"/>
                <w:szCs w:val="18"/>
              </w:rPr>
              <w:t>1.66</w:t>
            </w:r>
          </w:p>
        </w:tc>
        <w:tc>
          <w:tcPr>
            <w:tcW w:w="1080" w:type="dxa"/>
            <w:noWrap w:val="0"/>
            <w:vAlign w:val="center"/>
          </w:tcPr>
          <w:p>
            <w:pPr>
              <w:widowControl/>
              <w:jc w:val="right"/>
              <w:textAlignment w:val="center"/>
              <w:rPr>
                <w:rFonts w:hint="eastAsia" w:ascii="宋体" w:hAnsi="宋体"/>
                <w:color w:val="000000"/>
                <w:sz w:val="18"/>
                <w:szCs w:val="18"/>
              </w:rPr>
            </w:pPr>
            <w:r>
              <w:rPr>
                <w:rFonts w:hint="eastAsia" w:ascii="宋体" w:hAnsi="宋体"/>
                <w:color w:val="000000"/>
                <w:sz w:val="18"/>
                <w:szCs w:val="18"/>
              </w:rPr>
              <w:t>0.16</w:t>
            </w:r>
          </w:p>
        </w:tc>
        <w:tc>
          <w:tcPr>
            <w:tcW w:w="855" w:type="dxa"/>
            <w:noWrap w:val="0"/>
            <w:vAlign w:val="center"/>
          </w:tcPr>
          <w:p>
            <w:pPr>
              <w:widowControl/>
              <w:jc w:val="right"/>
              <w:textAlignment w:val="center"/>
              <w:rPr>
                <w:rFonts w:hint="eastAsia" w:ascii="宋体" w:hAnsi="宋体"/>
                <w:color w:val="000000"/>
                <w:sz w:val="18"/>
                <w:szCs w:val="18"/>
              </w:rPr>
            </w:pPr>
          </w:p>
        </w:tc>
        <w:tc>
          <w:tcPr>
            <w:tcW w:w="765" w:type="dxa"/>
            <w:noWrap w:val="0"/>
            <w:vAlign w:val="center"/>
          </w:tcPr>
          <w:p>
            <w:pPr>
              <w:widowControl/>
              <w:jc w:val="right"/>
              <w:textAlignment w:val="center"/>
              <w:rPr>
                <w:rFonts w:hint="eastAsia" w:ascii="宋体" w:hAnsi="宋体"/>
                <w:color w:val="000000"/>
                <w:sz w:val="18"/>
                <w:szCs w:val="18"/>
              </w:rPr>
            </w:pPr>
          </w:p>
        </w:tc>
        <w:tc>
          <w:tcPr>
            <w:tcW w:w="1260" w:type="dxa"/>
            <w:noWrap w:val="0"/>
            <w:vAlign w:val="center"/>
          </w:tcPr>
          <w:p>
            <w:pPr>
              <w:widowControl/>
              <w:jc w:val="right"/>
              <w:textAlignment w:val="center"/>
              <w:rPr>
                <w:rFonts w:hint="eastAsia" w:ascii="宋体" w:hAnsi="宋体"/>
                <w:color w:val="000000"/>
                <w:sz w:val="18"/>
                <w:szCs w:val="18"/>
              </w:rPr>
            </w:pPr>
          </w:p>
        </w:tc>
        <w:tc>
          <w:tcPr>
            <w:tcW w:w="1005" w:type="dxa"/>
            <w:noWrap w:val="0"/>
            <w:vAlign w:val="center"/>
          </w:tcPr>
          <w:p>
            <w:pPr>
              <w:widowControl/>
              <w:jc w:val="right"/>
              <w:textAlignment w:val="center"/>
              <w:rPr>
                <w:rFonts w:hint="eastAsia" w:ascii="宋体" w:hAnsi="宋体"/>
                <w:color w:val="000000"/>
                <w:sz w:val="18"/>
                <w:szCs w:val="18"/>
              </w:rPr>
            </w:pPr>
          </w:p>
        </w:tc>
        <w:tc>
          <w:tcPr>
            <w:tcW w:w="795" w:type="dxa"/>
            <w:noWrap w:val="0"/>
            <w:vAlign w:val="center"/>
          </w:tcPr>
          <w:p>
            <w:pPr>
              <w:jc w:val="right"/>
              <w:textAlignment w:val="center"/>
              <w:rPr>
                <w:rFonts w:hint="eastAsia" w:ascii="宋体" w:hAnsi="宋体"/>
                <w:color w:val="000000"/>
                <w:sz w:val="18"/>
                <w:szCs w:val="18"/>
              </w:rPr>
            </w:pPr>
            <w:r>
              <w:rPr>
                <w:rFonts w:hint="eastAsia" w:ascii="宋体" w:hAnsi="宋体"/>
                <w:color w:val="000000"/>
                <w:sz w:val="18"/>
                <w:szCs w:val="18"/>
              </w:rPr>
              <w:t>0.16</w:t>
            </w:r>
          </w:p>
        </w:tc>
        <w:tc>
          <w:tcPr>
            <w:tcW w:w="675" w:type="dxa"/>
            <w:noWrap w:val="0"/>
            <w:vAlign w:val="center"/>
          </w:tcPr>
          <w:p>
            <w:pPr>
              <w:jc w:val="right"/>
              <w:textAlignment w:val="center"/>
              <w:rPr>
                <w:rFonts w:hint="eastAsia" w:ascii="宋体" w:hAnsi="宋体"/>
                <w:color w:val="000000"/>
                <w:sz w:val="18"/>
                <w:szCs w:val="18"/>
              </w:rPr>
            </w:pPr>
            <w:r>
              <w:rPr>
                <w:rFonts w:hint="eastAsia" w:ascii="宋体" w:hAnsi="宋体"/>
                <w:color w:val="000000"/>
                <w:sz w:val="18"/>
                <w:szCs w:val="18"/>
              </w:rPr>
              <w:t>1.5</w:t>
            </w:r>
          </w:p>
        </w:tc>
        <w:tc>
          <w:tcPr>
            <w:tcW w:w="750" w:type="dxa"/>
            <w:noWrap w:val="0"/>
            <w:vAlign w:val="center"/>
          </w:tcPr>
          <w:p>
            <w:pPr>
              <w:jc w:val="right"/>
              <w:textAlignment w:val="center"/>
              <w:rPr>
                <w:rFonts w:hint="eastAsia" w:ascii="宋体" w:hAnsi="宋体"/>
                <w:color w:val="000000"/>
                <w:sz w:val="18"/>
                <w:szCs w:val="18"/>
              </w:rPr>
            </w:pPr>
          </w:p>
        </w:tc>
        <w:tc>
          <w:tcPr>
            <w:tcW w:w="885" w:type="dxa"/>
            <w:noWrap w:val="0"/>
            <w:vAlign w:val="center"/>
          </w:tcPr>
          <w:p>
            <w:pPr>
              <w:jc w:val="right"/>
              <w:textAlignment w:val="center"/>
              <w:rPr>
                <w:rFonts w:hint="eastAsia" w:ascii="宋体" w:hAnsi="宋体"/>
                <w:color w:val="000000"/>
                <w:sz w:val="18"/>
                <w:szCs w:val="18"/>
              </w:rPr>
            </w:pPr>
          </w:p>
        </w:tc>
        <w:tc>
          <w:tcPr>
            <w:tcW w:w="870" w:type="dxa"/>
            <w:noWrap w:val="0"/>
            <w:vAlign w:val="center"/>
          </w:tcPr>
          <w:p>
            <w:pPr>
              <w:jc w:val="right"/>
              <w:textAlignment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05" w:type="dxa"/>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sz w:val="18"/>
                <w:szCs w:val="18"/>
                <w:lang w:eastAsia="zh-CN"/>
              </w:rPr>
              <w:t>126</w:t>
            </w:r>
          </w:p>
        </w:tc>
        <w:tc>
          <w:tcPr>
            <w:tcW w:w="2265" w:type="dxa"/>
            <w:noWrap w:val="0"/>
            <w:vAlign w:val="center"/>
          </w:tcPr>
          <w:p>
            <w:pPr>
              <w:jc w:val="left"/>
              <w:textAlignment w:val="center"/>
              <w:rPr>
                <w:rFonts w:hint="eastAsia" w:ascii="宋体" w:hAnsi="宋体"/>
                <w:color w:val="000000"/>
                <w:sz w:val="18"/>
                <w:szCs w:val="18"/>
              </w:rPr>
            </w:pPr>
            <w:r>
              <w:rPr>
                <w:rFonts w:hint="eastAsia" w:ascii="宋体" w:hAnsi="宋体"/>
                <w:color w:val="000000"/>
                <w:sz w:val="18"/>
                <w:szCs w:val="18"/>
              </w:rPr>
              <w:t>百色市信访局</w:t>
            </w:r>
          </w:p>
        </w:tc>
        <w:tc>
          <w:tcPr>
            <w:tcW w:w="1725" w:type="dxa"/>
            <w:noWrap w:val="0"/>
            <w:vAlign w:val="center"/>
          </w:tcPr>
          <w:p>
            <w:pPr>
              <w:jc w:val="left"/>
              <w:textAlignment w:val="center"/>
              <w:rPr>
                <w:rFonts w:hint="eastAsia" w:ascii="宋体" w:hAnsi="宋体"/>
                <w:color w:val="000000"/>
                <w:sz w:val="18"/>
                <w:szCs w:val="18"/>
              </w:rPr>
            </w:pPr>
          </w:p>
        </w:tc>
        <w:tc>
          <w:tcPr>
            <w:tcW w:w="1095" w:type="dxa"/>
            <w:noWrap w:val="0"/>
            <w:vAlign w:val="center"/>
          </w:tcPr>
          <w:p>
            <w:pPr>
              <w:widowControl/>
              <w:jc w:val="right"/>
              <w:textAlignment w:val="center"/>
              <w:rPr>
                <w:rFonts w:hint="eastAsia" w:ascii="宋体" w:hAnsi="宋体"/>
                <w:color w:val="000000"/>
                <w:sz w:val="18"/>
                <w:szCs w:val="18"/>
              </w:rPr>
            </w:pPr>
            <w:r>
              <w:rPr>
                <w:rFonts w:hint="eastAsia" w:ascii="宋体" w:hAnsi="宋体"/>
                <w:color w:val="000000"/>
                <w:sz w:val="18"/>
                <w:szCs w:val="18"/>
              </w:rPr>
              <w:t>1.66</w:t>
            </w:r>
          </w:p>
        </w:tc>
        <w:tc>
          <w:tcPr>
            <w:tcW w:w="1080" w:type="dxa"/>
            <w:noWrap w:val="0"/>
            <w:vAlign w:val="center"/>
          </w:tcPr>
          <w:p>
            <w:pPr>
              <w:widowControl/>
              <w:jc w:val="right"/>
              <w:textAlignment w:val="center"/>
              <w:rPr>
                <w:rFonts w:hint="eastAsia" w:ascii="宋体" w:hAnsi="宋体"/>
                <w:color w:val="000000"/>
                <w:sz w:val="18"/>
                <w:szCs w:val="18"/>
              </w:rPr>
            </w:pPr>
            <w:r>
              <w:rPr>
                <w:rFonts w:hint="eastAsia" w:ascii="宋体" w:hAnsi="宋体"/>
                <w:color w:val="000000"/>
                <w:sz w:val="18"/>
                <w:szCs w:val="18"/>
              </w:rPr>
              <w:t>0.16</w:t>
            </w:r>
          </w:p>
        </w:tc>
        <w:tc>
          <w:tcPr>
            <w:tcW w:w="855" w:type="dxa"/>
            <w:noWrap w:val="0"/>
            <w:vAlign w:val="center"/>
          </w:tcPr>
          <w:p>
            <w:pPr>
              <w:widowControl/>
              <w:jc w:val="right"/>
              <w:textAlignment w:val="center"/>
              <w:rPr>
                <w:rFonts w:hint="eastAsia" w:ascii="宋体" w:hAnsi="宋体"/>
                <w:color w:val="000000"/>
                <w:sz w:val="18"/>
                <w:szCs w:val="18"/>
              </w:rPr>
            </w:pPr>
          </w:p>
        </w:tc>
        <w:tc>
          <w:tcPr>
            <w:tcW w:w="765" w:type="dxa"/>
            <w:noWrap w:val="0"/>
            <w:vAlign w:val="center"/>
          </w:tcPr>
          <w:p>
            <w:pPr>
              <w:widowControl/>
              <w:jc w:val="right"/>
              <w:textAlignment w:val="center"/>
              <w:rPr>
                <w:rFonts w:hint="eastAsia" w:ascii="宋体" w:hAnsi="宋体"/>
                <w:color w:val="000000"/>
                <w:sz w:val="18"/>
                <w:szCs w:val="18"/>
              </w:rPr>
            </w:pPr>
          </w:p>
        </w:tc>
        <w:tc>
          <w:tcPr>
            <w:tcW w:w="1260" w:type="dxa"/>
            <w:noWrap w:val="0"/>
            <w:vAlign w:val="center"/>
          </w:tcPr>
          <w:p>
            <w:pPr>
              <w:widowControl/>
              <w:jc w:val="right"/>
              <w:textAlignment w:val="center"/>
              <w:rPr>
                <w:rFonts w:hint="eastAsia" w:ascii="宋体" w:hAnsi="宋体"/>
                <w:color w:val="000000"/>
                <w:sz w:val="18"/>
                <w:szCs w:val="18"/>
              </w:rPr>
            </w:pPr>
          </w:p>
        </w:tc>
        <w:tc>
          <w:tcPr>
            <w:tcW w:w="1005" w:type="dxa"/>
            <w:noWrap w:val="0"/>
            <w:vAlign w:val="center"/>
          </w:tcPr>
          <w:p>
            <w:pPr>
              <w:widowControl/>
              <w:jc w:val="right"/>
              <w:textAlignment w:val="center"/>
              <w:rPr>
                <w:rFonts w:hint="eastAsia" w:ascii="宋体" w:hAnsi="宋体"/>
                <w:color w:val="000000"/>
                <w:sz w:val="18"/>
                <w:szCs w:val="18"/>
              </w:rPr>
            </w:pPr>
          </w:p>
        </w:tc>
        <w:tc>
          <w:tcPr>
            <w:tcW w:w="795" w:type="dxa"/>
            <w:noWrap w:val="0"/>
            <w:vAlign w:val="center"/>
          </w:tcPr>
          <w:p>
            <w:pPr>
              <w:jc w:val="right"/>
              <w:textAlignment w:val="center"/>
              <w:rPr>
                <w:rFonts w:hint="eastAsia" w:ascii="宋体" w:hAnsi="宋体"/>
                <w:color w:val="000000"/>
                <w:sz w:val="18"/>
                <w:szCs w:val="18"/>
              </w:rPr>
            </w:pPr>
            <w:r>
              <w:rPr>
                <w:rFonts w:hint="eastAsia" w:ascii="宋体" w:hAnsi="宋体"/>
                <w:color w:val="000000"/>
                <w:sz w:val="18"/>
                <w:szCs w:val="18"/>
              </w:rPr>
              <w:t>0.16</w:t>
            </w:r>
          </w:p>
        </w:tc>
        <w:tc>
          <w:tcPr>
            <w:tcW w:w="675" w:type="dxa"/>
            <w:noWrap w:val="0"/>
            <w:vAlign w:val="center"/>
          </w:tcPr>
          <w:p>
            <w:pPr>
              <w:jc w:val="right"/>
              <w:textAlignment w:val="center"/>
              <w:rPr>
                <w:rFonts w:hint="eastAsia" w:ascii="宋体" w:hAnsi="宋体"/>
                <w:color w:val="000000"/>
                <w:sz w:val="18"/>
                <w:szCs w:val="18"/>
              </w:rPr>
            </w:pPr>
            <w:r>
              <w:rPr>
                <w:rFonts w:hint="eastAsia" w:ascii="宋体" w:hAnsi="宋体"/>
                <w:color w:val="000000"/>
                <w:sz w:val="18"/>
                <w:szCs w:val="18"/>
              </w:rPr>
              <w:t>1.5</w:t>
            </w:r>
          </w:p>
        </w:tc>
        <w:tc>
          <w:tcPr>
            <w:tcW w:w="750" w:type="dxa"/>
            <w:noWrap w:val="0"/>
            <w:vAlign w:val="center"/>
          </w:tcPr>
          <w:p>
            <w:pPr>
              <w:jc w:val="right"/>
              <w:textAlignment w:val="center"/>
              <w:rPr>
                <w:rFonts w:hint="eastAsia" w:ascii="宋体" w:hAnsi="宋体"/>
                <w:color w:val="000000"/>
                <w:sz w:val="18"/>
                <w:szCs w:val="18"/>
              </w:rPr>
            </w:pPr>
          </w:p>
        </w:tc>
        <w:tc>
          <w:tcPr>
            <w:tcW w:w="885" w:type="dxa"/>
            <w:noWrap w:val="0"/>
            <w:vAlign w:val="center"/>
          </w:tcPr>
          <w:p>
            <w:pPr>
              <w:jc w:val="right"/>
              <w:textAlignment w:val="center"/>
              <w:rPr>
                <w:rFonts w:hint="eastAsia" w:ascii="宋体" w:hAnsi="宋体"/>
                <w:color w:val="000000"/>
                <w:sz w:val="18"/>
                <w:szCs w:val="18"/>
              </w:rPr>
            </w:pPr>
          </w:p>
        </w:tc>
        <w:tc>
          <w:tcPr>
            <w:tcW w:w="870" w:type="dxa"/>
            <w:noWrap w:val="0"/>
            <w:vAlign w:val="center"/>
          </w:tcPr>
          <w:p>
            <w:pPr>
              <w:jc w:val="right"/>
              <w:textAlignment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05" w:type="dxa"/>
            <w:noWrap w:val="0"/>
            <w:vAlign w:val="center"/>
          </w:tcPr>
          <w:p>
            <w:pPr>
              <w:widowControl/>
              <w:jc w:val="left"/>
              <w:textAlignment w:val="center"/>
              <w:rPr>
                <w:rFonts w:hint="eastAsia" w:ascii="宋体" w:hAnsi="宋体"/>
                <w:color w:val="000000"/>
                <w:sz w:val="18"/>
                <w:szCs w:val="18"/>
              </w:rPr>
            </w:pPr>
            <w:r>
              <w:rPr>
                <w:rFonts w:hint="eastAsia" w:ascii="宋体" w:hAnsi="宋体"/>
                <w:color w:val="000000"/>
                <w:sz w:val="18"/>
                <w:szCs w:val="18"/>
                <w:lang w:eastAsia="zh-CN"/>
              </w:rPr>
              <w:t>126001</w:t>
            </w:r>
          </w:p>
        </w:tc>
        <w:tc>
          <w:tcPr>
            <w:tcW w:w="2265" w:type="dxa"/>
            <w:noWrap w:val="0"/>
            <w:vAlign w:val="center"/>
          </w:tcPr>
          <w:p>
            <w:pPr>
              <w:jc w:val="left"/>
              <w:textAlignment w:val="center"/>
              <w:rPr>
                <w:rFonts w:hint="eastAsia" w:ascii="宋体" w:hAnsi="宋体"/>
                <w:color w:val="000000"/>
                <w:sz w:val="18"/>
                <w:szCs w:val="18"/>
              </w:rPr>
            </w:pPr>
            <w:r>
              <w:rPr>
                <w:rFonts w:hint="eastAsia" w:ascii="宋体" w:hAnsi="宋体"/>
                <w:color w:val="000000"/>
                <w:sz w:val="18"/>
                <w:szCs w:val="18"/>
              </w:rPr>
              <w:t>百色市信访局</w:t>
            </w:r>
          </w:p>
        </w:tc>
        <w:tc>
          <w:tcPr>
            <w:tcW w:w="1725" w:type="dxa"/>
            <w:noWrap w:val="0"/>
            <w:vAlign w:val="center"/>
          </w:tcPr>
          <w:p>
            <w:pPr>
              <w:jc w:val="left"/>
              <w:textAlignment w:val="center"/>
              <w:rPr>
                <w:rFonts w:hint="eastAsia" w:ascii="宋体" w:hAnsi="宋体"/>
                <w:color w:val="000000"/>
                <w:sz w:val="18"/>
                <w:szCs w:val="18"/>
              </w:rPr>
            </w:pPr>
            <w:r>
              <w:rPr>
                <w:rFonts w:hint="eastAsia" w:ascii="宋体" w:hAnsi="宋体"/>
                <w:color w:val="000000"/>
                <w:sz w:val="18"/>
                <w:szCs w:val="18"/>
              </w:rPr>
              <w:t>一般公共预算资金</w:t>
            </w:r>
          </w:p>
        </w:tc>
        <w:tc>
          <w:tcPr>
            <w:tcW w:w="1095" w:type="dxa"/>
            <w:noWrap w:val="0"/>
            <w:vAlign w:val="center"/>
          </w:tcPr>
          <w:p>
            <w:pPr>
              <w:widowControl/>
              <w:jc w:val="right"/>
              <w:textAlignment w:val="center"/>
              <w:rPr>
                <w:rFonts w:hint="eastAsia" w:ascii="宋体" w:hAnsi="宋体"/>
                <w:color w:val="000000"/>
                <w:sz w:val="18"/>
                <w:szCs w:val="18"/>
              </w:rPr>
            </w:pPr>
            <w:r>
              <w:rPr>
                <w:rFonts w:hint="eastAsia" w:ascii="宋体" w:hAnsi="宋体"/>
                <w:color w:val="000000"/>
                <w:sz w:val="18"/>
                <w:szCs w:val="18"/>
              </w:rPr>
              <w:t>1.66</w:t>
            </w:r>
          </w:p>
        </w:tc>
        <w:tc>
          <w:tcPr>
            <w:tcW w:w="1080" w:type="dxa"/>
            <w:noWrap w:val="0"/>
            <w:vAlign w:val="center"/>
          </w:tcPr>
          <w:p>
            <w:pPr>
              <w:widowControl/>
              <w:jc w:val="right"/>
              <w:textAlignment w:val="center"/>
              <w:rPr>
                <w:rFonts w:hint="eastAsia" w:ascii="宋体" w:hAnsi="宋体"/>
                <w:color w:val="000000"/>
                <w:sz w:val="18"/>
                <w:szCs w:val="18"/>
              </w:rPr>
            </w:pPr>
            <w:r>
              <w:rPr>
                <w:rFonts w:hint="eastAsia" w:ascii="宋体" w:hAnsi="宋体"/>
                <w:color w:val="000000"/>
                <w:sz w:val="18"/>
                <w:szCs w:val="18"/>
              </w:rPr>
              <w:t>0.16</w:t>
            </w:r>
          </w:p>
        </w:tc>
        <w:tc>
          <w:tcPr>
            <w:tcW w:w="855" w:type="dxa"/>
            <w:noWrap w:val="0"/>
            <w:vAlign w:val="center"/>
          </w:tcPr>
          <w:p>
            <w:pPr>
              <w:widowControl/>
              <w:jc w:val="right"/>
              <w:textAlignment w:val="center"/>
              <w:rPr>
                <w:rFonts w:hint="eastAsia" w:ascii="宋体" w:hAnsi="宋体"/>
                <w:color w:val="000000"/>
                <w:sz w:val="18"/>
                <w:szCs w:val="18"/>
              </w:rPr>
            </w:pPr>
          </w:p>
        </w:tc>
        <w:tc>
          <w:tcPr>
            <w:tcW w:w="765" w:type="dxa"/>
            <w:noWrap w:val="0"/>
            <w:vAlign w:val="center"/>
          </w:tcPr>
          <w:p>
            <w:pPr>
              <w:widowControl/>
              <w:jc w:val="right"/>
              <w:textAlignment w:val="center"/>
              <w:rPr>
                <w:rFonts w:hint="eastAsia" w:ascii="宋体" w:hAnsi="宋体"/>
                <w:color w:val="000000"/>
                <w:sz w:val="18"/>
                <w:szCs w:val="18"/>
              </w:rPr>
            </w:pPr>
          </w:p>
        </w:tc>
        <w:tc>
          <w:tcPr>
            <w:tcW w:w="1260" w:type="dxa"/>
            <w:noWrap w:val="0"/>
            <w:vAlign w:val="center"/>
          </w:tcPr>
          <w:p>
            <w:pPr>
              <w:widowControl/>
              <w:jc w:val="right"/>
              <w:textAlignment w:val="center"/>
              <w:rPr>
                <w:rFonts w:hint="eastAsia" w:ascii="宋体" w:hAnsi="宋体"/>
                <w:color w:val="000000"/>
                <w:sz w:val="18"/>
                <w:szCs w:val="18"/>
              </w:rPr>
            </w:pPr>
          </w:p>
        </w:tc>
        <w:tc>
          <w:tcPr>
            <w:tcW w:w="1005" w:type="dxa"/>
            <w:noWrap w:val="0"/>
            <w:vAlign w:val="center"/>
          </w:tcPr>
          <w:p>
            <w:pPr>
              <w:widowControl/>
              <w:jc w:val="right"/>
              <w:textAlignment w:val="center"/>
              <w:rPr>
                <w:rFonts w:hint="eastAsia" w:ascii="宋体" w:hAnsi="宋体"/>
                <w:color w:val="000000"/>
                <w:sz w:val="18"/>
                <w:szCs w:val="18"/>
              </w:rPr>
            </w:pPr>
          </w:p>
        </w:tc>
        <w:tc>
          <w:tcPr>
            <w:tcW w:w="795" w:type="dxa"/>
            <w:noWrap w:val="0"/>
            <w:vAlign w:val="center"/>
          </w:tcPr>
          <w:p>
            <w:pPr>
              <w:jc w:val="right"/>
              <w:textAlignment w:val="center"/>
              <w:rPr>
                <w:rFonts w:hint="eastAsia" w:ascii="宋体" w:hAnsi="宋体"/>
                <w:color w:val="000000"/>
                <w:sz w:val="18"/>
                <w:szCs w:val="18"/>
              </w:rPr>
            </w:pPr>
            <w:r>
              <w:rPr>
                <w:rFonts w:hint="eastAsia" w:ascii="宋体" w:hAnsi="宋体"/>
                <w:color w:val="000000"/>
                <w:sz w:val="18"/>
                <w:szCs w:val="18"/>
              </w:rPr>
              <w:t>0.16</w:t>
            </w:r>
          </w:p>
        </w:tc>
        <w:tc>
          <w:tcPr>
            <w:tcW w:w="675" w:type="dxa"/>
            <w:noWrap w:val="0"/>
            <w:vAlign w:val="center"/>
          </w:tcPr>
          <w:p>
            <w:pPr>
              <w:jc w:val="right"/>
              <w:textAlignment w:val="center"/>
              <w:rPr>
                <w:rFonts w:hint="eastAsia" w:ascii="宋体" w:hAnsi="宋体"/>
                <w:color w:val="000000"/>
                <w:sz w:val="18"/>
                <w:szCs w:val="18"/>
              </w:rPr>
            </w:pPr>
            <w:r>
              <w:rPr>
                <w:rFonts w:hint="eastAsia" w:ascii="宋体" w:hAnsi="宋体"/>
                <w:color w:val="000000"/>
                <w:sz w:val="18"/>
                <w:szCs w:val="18"/>
              </w:rPr>
              <w:t>1.5</w:t>
            </w:r>
          </w:p>
        </w:tc>
        <w:tc>
          <w:tcPr>
            <w:tcW w:w="750" w:type="dxa"/>
            <w:noWrap w:val="0"/>
            <w:vAlign w:val="center"/>
          </w:tcPr>
          <w:p>
            <w:pPr>
              <w:jc w:val="right"/>
              <w:textAlignment w:val="center"/>
              <w:rPr>
                <w:rFonts w:hint="eastAsia" w:ascii="宋体" w:hAnsi="宋体"/>
                <w:color w:val="000000"/>
                <w:sz w:val="18"/>
                <w:szCs w:val="18"/>
              </w:rPr>
            </w:pPr>
          </w:p>
        </w:tc>
        <w:tc>
          <w:tcPr>
            <w:tcW w:w="885" w:type="dxa"/>
            <w:noWrap w:val="0"/>
            <w:vAlign w:val="center"/>
          </w:tcPr>
          <w:p>
            <w:pPr>
              <w:jc w:val="right"/>
              <w:textAlignment w:val="center"/>
              <w:rPr>
                <w:rFonts w:hint="eastAsia" w:ascii="宋体" w:hAnsi="宋体"/>
                <w:color w:val="000000"/>
                <w:sz w:val="18"/>
                <w:szCs w:val="18"/>
              </w:rPr>
            </w:pPr>
          </w:p>
        </w:tc>
        <w:tc>
          <w:tcPr>
            <w:tcW w:w="870" w:type="dxa"/>
            <w:noWrap w:val="0"/>
            <w:vAlign w:val="center"/>
          </w:tcPr>
          <w:p>
            <w:pPr>
              <w:jc w:val="right"/>
              <w:textAlignment w:val="center"/>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05" w:type="dxa"/>
            <w:noWrap w:val="0"/>
            <w:vAlign w:val="center"/>
          </w:tcPr>
          <w:p>
            <w:pPr>
              <w:widowControl/>
              <w:jc w:val="left"/>
              <w:textAlignment w:val="center"/>
              <w:rPr>
                <w:rFonts w:hint="eastAsia" w:ascii="宋体" w:hAnsi="宋体"/>
                <w:color w:val="000000"/>
                <w:sz w:val="18"/>
                <w:szCs w:val="18"/>
              </w:rPr>
            </w:pPr>
          </w:p>
        </w:tc>
        <w:tc>
          <w:tcPr>
            <w:tcW w:w="2265" w:type="dxa"/>
            <w:noWrap w:val="0"/>
            <w:vAlign w:val="top"/>
          </w:tcPr>
          <w:p>
            <w:pPr>
              <w:widowControl/>
              <w:jc w:val="left"/>
              <w:textAlignment w:val="center"/>
              <w:rPr>
                <w:rFonts w:hint="eastAsia" w:ascii="宋体" w:hAnsi="宋体"/>
                <w:color w:val="000000"/>
                <w:sz w:val="18"/>
                <w:szCs w:val="18"/>
              </w:rPr>
            </w:pPr>
          </w:p>
        </w:tc>
        <w:tc>
          <w:tcPr>
            <w:tcW w:w="1725" w:type="dxa"/>
            <w:noWrap w:val="0"/>
            <w:vAlign w:val="center"/>
          </w:tcPr>
          <w:p>
            <w:pPr>
              <w:widowControl/>
              <w:jc w:val="left"/>
              <w:textAlignment w:val="center"/>
              <w:rPr>
                <w:rFonts w:hint="eastAsia" w:ascii="宋体" w:hAnsi="宋体"/>
                <w:color w:val="000000"/>
                <w:sz w:val="18"/>
                <w:szCs w:val="18"/>
              </w:rPr>
            </w:pPr>
          </w:p>
        </w:tc>
        <w:tc>
          <w:tcPr>
            <w:tcW w:w="1095" w:type="dxa"/>
            <w:noWrap w:val="0"/>
            <w:vAlign w:val="center"/>
          </w:tcPr>
          <w:p>
            <w:pPr>
              <w:widowControl/>
              <w:jc w:val="right"/>
              <w:textAlignment w:val="center"/>
              <w:rPr>
                <w:rFonts w:hint="eastAsia" w:ascii="宋体" w:hAnsi="宋体"/>
                <w:color w:val="000000"/>
                <w:sz w:val="18"/>
                <w:szCs w:val="18"/>
              </w:rPr>
            </w:pPr>
          </w:p>
        </w:tc>
        <w:tc>
          <w:tcPr>
            <w:tcW w:w="1080" w:type="dxa"/>
            <w:noWrap w:val="0"/>
            <w:vAlign w:val="center"/>
          </w:tcPr>
          <w:p>
            <w:pPr>
              <w:widowControl/>
              <w:jc w:val="right"/>
              <w:textAlignment w:val="center"/>
              <w:rPr>
                <w:rFonts w:hint="eastAsia" w:ascii="宋体" w:hAnsi="宋体"/>
                <w:color w:val="000000"/>
                <w:sz w:val="18"/>
                <w:szCs w:val="18"/>
              </w:rPr>
            </w:pPr>
          </w:p>
        </w:tc>
        <w:tc>
          <w:tcPr>
            <w:tcW w:w="855" w:type="dxa"/>
            <w:noWrap w:val="0"/>
            <w:vAlign w:val="center"/>
          </w:tcPr>
          <w:p>
            <w:pPr>
              <w:widowControl/>
              <w:jc w:val="right"/>
              <w:textAlignment w:val="center"/>
              <w:rPr>
                <w:rFonts w:hint="eastAsia" w:ascii="宋体" w:hAnsi="宋体"/>
                <w:color w:val="000000"/>
                <w:sz w:val="18"/>
                <w:szCs w:val="18"/>
              </w:rPr>
            </w:pPr>
          </w:p>
        </w:tc>
        <w:tc>
          <w:tcPr>
            <w:tcW w:w="765" w:type="dxa"/>
            <w:noWrap w:val="0"/>
            <w:vAlign w:val="center"/>
          </w:tcPr>
          <w:p>
            <w:pPr>
              <w:widowControl/>
              <w:jc w:val="right"/>
              <w:textAlignment w:val="center"/>
              <w:rPr>
                <w:rFonts w:hint="eastAsia" w:ascii="宋体" w:hAnsi="宋体"/>
                <w:color w:val="000000"/>
                <w:sz w:val="18"/>
                <w:szCs w:val="18"/>
              </w:rPr>
            </w:pPr>
          </w:p>
        </w:tc>
        <w:tc>
          <w:tcPr>
            <w:tcW w:w="1260" w:type="dxa"/>
            <w:noWrap w:val="0"/>
            <w:vAlign w:val="center"/>
          </w:tcPr>
          <w:p>
            <w:pPr>
              <w:widowControl/>
              <w:jc w:val="right"/>
              <w:textAlignment w:val="center"/>
              <w:rPr>
                <w:rFonts w:hint="eastAsia" w:ascii="宋体" w:hAnsi="宋体"/>
                <w:color w:val="000000"/>
                <w:sz w:val="18"/>
                <w:szCs w:val="18"/>
              </w:rPr>
            </w:pPr>
          </w:p>
        </w:tc>
        <w:tc>
          <w:tcPr>
            <w:tcW w:w="1005" w:type="dxa"/>
            <w:noWrap w:val="0"/>
            <w:vAlign w:val="center"/>
          </w:tcPr>
          <w:p>
            <w:pPr>
              <w:widowControl/>
              <w:jc w:val="right"/>
              <w:textAlignment w:val="center"/>
              <w:rPr>
                <w:rFonts w:hint="eastAsia" w:ascii="宋体" w:hAnsi="宋体"/>
                <w:color w:val="000000"/>
                <w:sz w:val="18"/>
                <w:szCs w:val="18"/>
              </w:rPr>
            </w:pPr>
          </w:p>
        </w:tc>
        <w:tc>
          <w:tcPr>
            <w:tcW w:w="795" w:type="dxa"/>
            <w:noWrap w:val="0"/>
            <w:vAlign w:val="center"/>
          </w:tcPr>
          <w:p>
            <w:pPr>
              <w:widowControl/>
              <w:jc w:val="right"/>
              <w:textAlignment w:val="center"/>
              <w:rPr>
                <w:rFonts w:hint="eastAsia" w:ascii="宋体" w:hAnsi="宋体"/>
                <w:color w:val="000000"/>
                <w:sz w:val="18"/>
                <w:szCs w:val="18"/>
              </w:rPr>
            </w:pPr>
          </w:p>
        </w:tc>
        <w:tc>
          <w:tcPr>
            <w:tcW w:w="675" w:type="dxa"/>
            <w:noWrap w:val="0"/>
            <w:vAlign w:val="center"/>
          </w:tcPr>
          <w:p>
            <w:pPr>
              <w:widowControl/>
              <w:jc w:val="right"/>
              <w:textAlignment w:val="center"/>
              <w:rPr>
                <w:rFonts w:hint="eastAsia" w:ascii="宋体" w:hAnsi="宋体"/>
                <w:color w:val="000000"/>
                <w:sz w:val="18"/>
                <w:szCs w:val="18"/>
              </w:rPr>
            </w:pPr>
          </w:p>
        </w:tc>
        <w:tc>
          <w:tcPr>
            <w:tcW w:w="750" w:type="dxa"/>
            <w:noWrap w:val="0"/>
            <w:vAlign w:val="center"/>
          </w:tcPr>
          <w:p>
            <w:pPr>
              <w:widowControl/>
              <w:jc w:val="right"/>
              <w:textAlignment w:val="center"/>
              <w:rPr>
                <w:rFonts w:hint="eastAsia" w:ascii="宋体" w:hAnsi="宋体"/>
                <w:color w:val="000000"/>
                <w:sz w:val="18"/>
                <w:szCs w:val="18"/>
              </w:rPr>
            </w:pPr>
          </w:p>
        </w:tc>
        <w:tc>
          <w:tcPr>
            <w:tcW w:w="885" w:type="dxa"/>
            <w:noWrap w:val="0"/>
            <w:vAlign w:val="center"/>
          </w:tcPr>
          <w:p>
            <w:pPr>
              <w:widowControl/>
              <w:jc w:val="right"/>
              <w:textAlignment w:val="center"/>
              <w:rPr>
                <w:rFonts w:hint="eastAsia" w:ascii="宋体" w:hAnsi="宋体"/>
                <w:color w:val="000000"/>
                <w:sz w:val="18"/>
                <w:szCs w:val="18"/>
              </w:rPr>
            </w:pPr>
          </w:p>
        </w:tc>
        <w:tc>
          <w:tcPr>
            <w:tcW w:w="870" w:type="dxa"/>
            <w:noWrap w:val="0"/>
            <w:vAlign w:val="center"/>
          </w:tcPr>
          <w:p>
            <w:pPr>
              <w:widowControl/>
              <w:jc w:val="right"/>
              <w:textAlignment w:val="center"/>
              <w:rPr>
                <w:rFonts w:hint="eastAsia" w:ascii="宋体" w:hAnsi="宋体"/>
                <w:color w:val="000000"/>
                <w:sz w:val="18"/>
                <w:szCs w:val="18"/>
              </w:rPr>
            </w:pPr>
          </w:p>
        </w:tc>
      </w:tr>
    </w:tbl>
    <w:p>
      <w:pPr>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注：</w:t>
      </w:r>
      <w:bookmarkStart w:id="28" w:name="PO_part2Table1Remark7"/>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报表金额单位转换时可能存在四舍五入尾数误差。</w:t>
      </w:r>
      <w:bookmarkEnd w:id="26"/>
      <w:bookmarkEnd w:id="28"/>
      <w:r>
        <w:rPr>
          <w:rFonts w:hint="eastAsia" w:ascii="宋体" w:hAnsi="宋体"/>
          <w:color w:val="000000"/>
          <w:kern w:val="0"/>
          <w:sz w:val="18"/>
          <w:szCs w:val="18"/>
        </w:rPr>
        <w:t xml:space="preserve">  </w:t>
      </w:r>
    </w:p>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pPr>
        <w:rPr>
          <w:rFonts w:hint="eastAsia"/>
        </w:rPr>
      </w:pPr>
      <w:bookmarkStart w:id="29" w:name="PO_part2Table8"/>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28"/>
        <w:gridCol w:w="730"/>
        <w:gridCol w:w="2186"/>
        <w:gridCol w:w="2186"/>
        <w:gridCol w:w="2916"/>
        <w:gridCol w:w="2776"/>
        <w:gridCol w:w="140"/>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预算公开08</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pPr>
              <w:jc w:val="center"/>
              <w:rPr>
                <w:rFonts w:hint="eastAsia" w:ascii="宋体" w:hAnsi="宋体"/>
                <w:b/>
                <w:bCs/>
                <w:color w:val="000000"/>
                <w:kern w:val="0"/>
                <w:sz w:val="26"/>
                <w:szCs w:val="26"/>
              </w:rPr>
            </w:pPr>
            <w:r>
              <w:rPr>
                <w:rFonts w:hint="eastAsia" w:ascii="宋体" w:hAnsi="宋体"/>
                <w:b/>
                <w:bCs/>
                <w:color w:val="000000"/>
                <w:kern w:val="0"/>
                <w:sz w:val="26"/>
                <w:szCs w:val="26"/>
              </w:rPr>
              <w:t>政府性基金预算支出情况表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250" w:type="dxa"/>
            <w:gridSpan w:val="7"/>
            <w:tcBorders>
              <w:top w:val="nil"/>
              <w:left w:val="nil"/>
              <w:bottom w:val="single" w:color="000000" w:sz="8"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30" w:name="PO_part2Table1DivName8"/>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百色市信访局</w:t>
            </w:r>
            <w:r>
              <w:rPr>
                <w:rFonts w:hint="eastAsia" w:ascii="宋体" w:hAnsi="宋体"/>
                <w:color w:val="000000"/>
                <w:kern w:val="0"/>
                <w:sz w:val="18"/>
                <w:szCs w:val="18"/>
              </w:rPr>
              <w:t xml:space="preserve">  </w:t>
            </w:r>
            <w:bookmarkEnd w:id="30"/>
          </w:p>
        </w:tc>
        <w:tc>
          <w:tcPr>
            <w:tcW w:w="3057" w:type="dxa"/>
            <w:gridSpan w:val="2"/>
            <w:tcBorders>
              <w:top w:val="nil"/>
              <w:left w:val="nil"/>
              <w:bottom w:val="single" w:color="000000" w:sz="8" w:space="0"/>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restart"/>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科目编码</w:t>
            </w:r>
          </w:p>
        </w:tc>
        <w:tc>
          <w:tcPr>
            <w:tcW w:w="2186" w:type="dxa"/>
            <w:vMerge w:val="restart"/>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部门（单位）代码</w:t>
            </w:r>
          </w:p>
        </w:tc>
        <w:tc>
          <w:tcPr>
            <w:tcW w:w="2186" w:type="dxa"/>
            <w:vMerge w:val="restart"/>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部门（单位）名称</w:t>
            </w:r>
          </w:p>
          <w:p>
            <w:pPr>
              <w:jc w:val="center"/>
              <w:rPr>
                <w:rFonts w:hint="eastAsia" w:ascii="宋体" w:hAnsi="宋体"/>
                <w:color w:val="000000"/>
                <w:sz w:val="18"/>
                <w:szCs w:val="18"/>
              </w:rPr>
            </w:pPr>
            <w:r>
              <w:rPr>
                <w:rFonts w:hint="eastAsia" w:ascii="宋体" w:hAnsi="宋体"/>
                <w:color w:val="000000"/>
                <w:sz w:val="18"/>
                <w:szCs w:val="18"/>
              </w:rPr>
              <w:t>(功能分类科目名称)</w:t>
            </w:r>
          </w:p>
        </w:tc>
        <w:tc>
          <w:tcPr>
            <w:tcW w:w="8749" w:type="dxa"/>
            <w:gridSpan w:val="4"/>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本年政府性基金预算支出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合计</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基本支出</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1</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2</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28" w:type="dxa"/>
            <w:tcBorders>
              <w:left w:val="single" w:color="000000" w:sz="8" w:space="0"/>
              <w:bottom w:val="single" w:color="000000" w:sz="8" w:space="0"/>
              <w:right w:val="single" w:color="000000" w:sz="8" w:space="0"/>
            </w:tcBorders>
            <w:noWrap w:val="0"/>
            <w:vAlign w:val="center"/>
          </w:tcPr>
          <w:p>
            <w:pPr>
              <w:rPr>
                <w:rFonts w:hint="eastAsia" w:ascii="宋体" w:hAnsi="宋体" w:cs="宋体"/>
                <w:color w:val="000000"/>
                <w:kern w:val="0"/>
                <w:sz w:val="20"/>
                <w:szCs w:val="20"/>
                <w:lang w:bidi="ar"/>
              </w:rPr>
            </w:pPr>
          </w:p>
        </w:tc>
        <w:tc>
          <w:tcPr>
            <w:tcW w:w="728" w:type="dxa"/>
            <w:tcBorders>
              <w:left w:val="single" w:color="000000" w:sz="8" w:space="0"/>
              <w:bottom w:val="single" w:color="000000" w:sz="8" w:space="0"/>
              <w:right w:val="single" w:color="000000" w:sz="8" w:space="0"/>
            </w:tcBorders>
            <w:noWrap w:val="0"/>
            <w:vAlign w:val="center"/>
          </w:tcPr>
          <w:p>
            <w:pPr>
              <w:rPr>
                <w:rFonts w:hint="eastAsia" w:ascii="宋体" w:hAnsi="宋体"/>
                <w:color w:val="000000"/>
                <w:kern w:val="0"/>
                <w:sz w:val="18"/>
                <w:szCs w:val="18"/>
              </w:rPr>
            </w:pPr>
          </w:p>
        </w:tc>
        <w:tc>
          <w:tcPr>
            <w:tcW w:w="730" w:type="dxa"/>
            <w:tcBorders>
              <w:left w:val="single" w:color="000000" w:sz="8" w:space="0"/>
              <w:bottom w:val="single" w:color="000000" w:sz="8" w:space="0"/>
              <w:right w:val="single" w:color="000000" w:sz="8" w:space="0"/>
            </w:tcBorders>
            <w:noWrap w:val="0"/>
            <w:vAlign w:val="center"/>
          </w:tcPr>
          <w:p>
            <w:pPr>
              <w:rPr>
                <w:rFonts w:hint="eastAsia" w:ascii="宋体" w:hAnsi="宋体"/>
                <w:color w:val="000000"/>
                <w:kern w:val="0"/>
                <w:sz w:val="18"/>
                <w:szCs w:val="18"/>
              </w:rPr>
            </w:pPr>
          </w:p>
        </w:tc>
        <w:tc>
          <w:tcPr>
            <w:tcW w:w="2186" w:type="dxa"/>
            <w:tcBorders>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cs="宋体"/>
                <w:color w:val="000000"/>
                <w:kern w:val="0"/>
                <w:sz w:val="20"/>
                <w:szCs w:val="20"/>
                <w:lang w:bidi="ar"/>
              </w:rPr>
            </w:pPr>
          </w:p>
        </w:tc>
        <w:tc>
          <w:tcPr>
            <w:tcW w:w="2186" w:type="dxa"/>
            <w:tcBorders>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cs="宋体"/>
                <w:color w:val="000000"/>
                <w:kern w:val="0"/>
                <w:sz w:val="20"/>
                <w:szCs w:val="20"/>
                <w:lang w:bidi="ar"/>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pPr>
              <w:widowControl/>
              <w:jc w:val="right"/>
              <w:textAlignment w:val="center"/>
              <w:rPr>
                <w:rFonts w:hint="eastAsia" w:ascii="宋体" w:hAnsi="宋体" w:cs="宋体"/>
                <w:color w:val="000000"/>
                <w:kern w:val="0"/>
                <w:sz w:val="20"/>
                <w:szCs w:val="20"/>
                <w:lang w:bidi="ar"/>
              </w:rPr>
            </w:pP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pPr>
              <w:widowControl/>
              <w:jc w:val="right"/>
              <w:textAlignment w:val="center"/>
              <w:rPr>
                <w:rFonts w:hint="eastAsia" w:ascii="宋体" w:hAnsi="宋体" w:cs="宋体"/>
                <w:color w:val="000000"/>
                <w:kern w:val="0"/>
                <w:sz w:val="20"/>
                <w:szCs w:val="20"/>
                <w:lang w:bidi="ar"/>
              </w:rPr>
            </w:pPr>
          </w:p>
        </w:tc>
        <w:tc>
          <w:tcPr>
            <w:tcW w:w="2917" w:type="dxa"/>
            <w:tcBorders>
              <w:top w:val="single" w:color="000000" w:sz="8" w:space="0"/>
              <w:left w:val="single" w:color="000000" w:sz="8" w:space="0"/>
              <w:bottom w:val="single" w:color="000000" w:sz="8" w:space="0"/>
              <w:right w:val="single" w:color="000000" w:sz="8" w:space="0"/>
            </w:tcBorders>
            <w:noWrap w:val="0"/>
            <w:vAlign w:val="center"/>
          </w:tcPr>
          <w:p>
            <w:pPr>
              <w:widowControl/>
              <w:jc w:val="right"/>
              <w:textAlignment w:val="center"/>
              <w:rPr>
                <w:rFonts w:hint="eastAsia" w:ascii="宋体" w:hAnsi="宋体" w:cs="宋体"/>
                <w:color w:val="000000"/>
                <w:kern w:val="0"/>
                <w:sz w:val="20"/>
                <w:szCs w:val="20"/>
                <w:lang w:bidi="ar"/>
              </w:rPr>
            </w:pPr>
          </w:p>
        </w:tc>
      </w:tr>
    </w:tbl>
    <w:p>
      <w:pPr>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注：</w:t>
      </w:r>
      <w:bookmarkStart w:id="31" w:name="PO_part2Table1Remark8"/>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本报表金额单位转换时可能存在四舍五入尾数误差。</w:t>
      </w:r>
    </w:p>
    <w:p>
      <w:pPr>
        <w:rPr>
          <w:rFonts w:hint="eastAsia"/>
        </w:rPr>
      </w:pPr>
      <w:r>
        <w:rPr>
          <w:rFonts w:hint="eastAsia" w:ascii="宋体" w:hAnsi="宋体"/>
          <w:color w:val="000000"/>
          <w:kern w:val="0"/>
          <w:sz w:val="18"/>
          <w:szCs w:val="18"/>
        </w:rPr>
        <w:t>本部门</w:t>
      </w:r>
      <w:r>
        <w:rPr>
          <w:rFonts w:hint="eastAsia" w:ascii="宋体" w:hAnsi="宋体"/>
          <w:color w:val="000000"/>
          <w:kern w:val="0"/>
          <w:sz w:val="18"/>
          <w:szCs w:val="18"/>
          <w:lang w:val="en-US" w:eastAsia="zh-CN"/>
        </w:rPr>
        <w:t>2025</w:t>
      </w:r>
      <w:r>
        <w:rPr>
          <w:rFonts w:hint="eastAsia" w:ascii="宋体" w:hAnsi="宋体"/>
          <w:color w:val="000000"/>
          <w:kern w:val="0"/>
          <w:sz w:val="18"/>
          <w:szCs w:val="18"/>
        </w:rPr>
        <w:t>年度没有政府性基金预算支出，故本表无数据。</w:t>
      </w:r>
      <w:r>
        <w:rPr>
          <w:rFonts w:hint="eastAsia" w:ascii="宋体" w:hAnsi="宋体" w:cs="宋体"/>
          <w:color w:val="000000"/>
          <w:kern w:val="0"/>
          <w:sz w:val="18"/>
          <w:szCs w:val="18"/>
          <w:lang w:bidi="ar"/>
        </w:rPr>
        <w:t xml:space="preserve"> </w:t>
      </w:r>
      <w:bookmarkEnd w:id="29"/>
      <w:bookmarkEnd w:id="31"/>
      <w:r>
        <w:rPr>
          <w:rFonts w:hint="eastAsia" w:ascii="宋体" w:hAnsi="宋体" w:cs="宋体"/>
          <w:color w:val="000000"/>
          <w:kern w:val="0"/>
          <w:sz w:val="18"/>
          <w:szCs w:val="18"/>
          <w:lang w:bidi="ar"/>
        </w:rPr>
        <w:t xml:space="preserve">  </w:t>
      </w:r>
      <w:r>
        <w:rPr>
          <w:rFonts w:ascii="宋体" w:hAnsi="宋体" w:cs="宋体"/>
          <w:color w:val="000000"/>
          <w:kern w:val="0"/>
          <w:sz w:val="18"/>
          <w:szCs w:val="18"/>
          <w:lang w:bidi="ar"/>
        </w:rPr>
        <w:br w:type="page"/>
      </w:r>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28"/>
        <w:gridCol w:w="730"/>
        <w:gridCol w:w="2186"/>
        <w:gridCol w:w="2186"/>
        <w:gridCol w:w="2916"/>
        <w:gridCol w:w="2776"/>
        <w:gridCol w:w="140"/>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预算公开09</w:t>
            </w:r>
            <w:r>
              <w:rPr>
                <w:rFonts w:hint="eastAsia" w:ascii="宋体" w:hAnsi="宋体"/>
                <w:color w:val="000000"/>
                <w:kern w:val="0"/>
                <w:sz w:val="18"/>
                <w:szCs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pPr>
              <w:jc w:val="center"/>
              <w:rPr>
                <w:rFonts w:hint="eastAsia" w:ascii="宋体" w:hAnsi="宋体"/>
                <w:b/>
                <w:bCs/>
                <w:color w:val="000000"/>
                <w:kern w:val="0"/>
                <w:sz w:val="26"/>
                <w:szCs w:val="26"/>
              </w:rPr>
            </w:pPr>
            <w:r>
              <w:rPr>
                <w:rFonts w:hint="eastAsia" w:ascii="宋体" w:hAnsi="宋体"/>
                <w:b/>
                <w:bCs/>
                <w:color w:val="000000"/>
                <w:kern w:val="0"/>
                <w:sz w:val="26"/>
                <w:szCs w:val="26"/>
              </w:rPr>
              <w:t>国有资本经营预算支出情况表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250" w:type="dxa"/>
            <w:gridSpan w:val="7"/>
            <w:tcBorders>
              <w:top w:val="nil"/>
              <w:left w:val="nil"/>
              <w:bottom w:val="single" w:color="000000" w:sz="8" w:space="0"/>
              <w:right w:val="nil"/>
            </w:tcBorders>
            <w:noWrap w:val="0"/>
            <w:vAlign w:val="center"/>
          </w:tcPr>
          <w:p>
            <w:pPr>
              <w:jc w:val="left"/>
              <w:rPr>
                <w:rFonts w:hint="eastAsia"/>
              </w:rPr>
            </w:pPr>
            <w:r>
              <w:rPr>
                <w:rFonts w:hint="eastAsia" w:ascii="宋体" w:hAnsi="宋体"/>
                <w:color w:val="000000"/>
                <w:kern w:val="0"/>
                <w:sz w:val="18"/>
                <w:szCs w:val="18"/>
              </w:rPr>
              <w:t xml:space="preserve">单位名称：  </w:t>
            </w:r>
            <w:r>
              <w:rPr>
                <w:rFonts w:hint="eastAsia" w:ascii="宋体" w:hAnsi="宋体"/>
                <w:color w:val="000000"/>
                <w:kern w:val="0"/>
                <w:sz w:val="18"/>
                <w:szCs w:val="18"/>
                <w:lang w:val="en-US" w:eastAsia="zh-CN"/>
              </w:rPr>
              <w:t>百色市信访局</w:t>
            </w:r>
            <w:r>
              <w:rPr>
                <w:rFonts w:hint="eastAsia" w:ascii="宋体" w:hAnsi="宋体"/>
                <w:color w:val="000000"/>
                <w:kern w:val="0"/>
                <w:sz w:val="18"/>
                <w:szCs w:val="18"/>
              </w:rPr>
              <w:t xml:space="preserve">  </w:t>
            </w:r>
          </w:p>
        </w:tc>
        <w:tc>
          <w:tcPr>
            <w:tcW w:w="3057" w:type="dxa"/>
            <w:gridSpan w:val="2"/>
            <w:tcBorders>
              <w:top w:val="nil"/>
              <w:left w:val="nil"/>
              <w:bottom w:val="single" w:color="000000" w:sz="8" w:space="0"/>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restart"/>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科目编码</w:t>
            </w:r>
          </w:p>
        </w:tc>
        <w:tc>
          <w:tcPr>
            <w:tcW w:w="2186" w:type="dxa"/>
            <w:vMerge w:val="restart"/>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部门（单位）代码</w:t>
            </w:r>
          </w:p>
        </w:tc>
        <w:tc>
          <w:tcPr>
            <w:tcW w:w="2186" w:type="dxa"/>
            <w:vMerge w:val="restart"/>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部门（单位）名称</w:t>
            </w:r>
          </w:p>
          <w:p>
            <w:pPr>
              <w:jc w:val="center"/>
              <w:rPr>
                <w:rFonts w:hint="eastAsia" w:ascii="宋体" w:hAnsi="宋体"/>
                <w:color w:val="000000"/>
                <w:sz w:val="18"/>
                <w:szCs w:val="18"/>
              </w:rPr>
            </w:pPr>
            <w:r>
              <w:rPr>
                <w:rFonts w:hint="eastAsia" w:ascii="宋体" w:hAnsi="宋体"/>
                <w:color w:val="000000"/>
                <w:sz w:val="18"/>
                <w:szCs w:val="18"/>
              </w:rPr>
              <w:t>(功能分类科目名称)</w:t>
            </w:r>
          </w:p>
        </w:tc>
        <w:tc>
          <w:tcPr>
            <w:tcW w:w="8749" w:type="dxa"/>
            <w:gridSpan w:val="4"/>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本年国有资本经营预算支出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合计</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基本支出</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1</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2</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olor w:val="000000"/>
                <w:sz w:val="18"/>
                <w:szCs w:val="18"/>
              </w:rPr>
            </w:pPr>
            <w:r>
              <w:rPr>
                <w:rFonts w:hint="eastAsia" w:ascii="宋体" w:hAnsi="宋体"/>
                <w:color w:val="00000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28" w:type="dxa"/>
            <w:tcBorders>
              <w:left w:val="single" w:color="000000" w:sz="8" w:space="0"/>
              <w:bottom w:val="single" w:color="000000" w:sz="8" w:space="0"/>
              <w:right w:val="single" w:color="000000" w:sz="8" w:space="0"/>
            </w:tcBorders>
            <w:noWrap w:val="0"/>
            <w:vAlign w:val="center"/>
          </w:tcPr>
          <w:p>
            <w:pPr>
              <w:rPr>
                <w:rFonts w:hint="eastAsia" w:ascii="宋体" w:hAnsi="宋体" w:cs="宋体"/>
                <w:color w:val="000000"/>
                <w:kern w:val="0"/>
                <w:sz w:val="20"/>
                <w:szCs w:val="20"/>
                <w:lang w:bidi="ar"/>
              </w:rPr>
            </w:pPr>
          </w:p>
        </w:tc>
        <w:tc>
          <w:tcPr>
            <w:tcW w:w="728" w:type="dxa"/>
            <w:tcBorders>
              <w:left w:val="single" w:color="000000" w:sz="8" w:space="0"/>
              <w:bottom w:val="single" w:color="000000" w:sz="8" w:space="0"/>
              <w:right w:val="single" w:color="000000" w:sz="8" w:space="0"/>
            </w:tcBorders>
            <w:noWrap w:val="0"/>
            <w:vAlign w:val="center"/>
          </w:tcPr>
          <w:p>
            <w:pPr>
              <w:rPr>
                <w:rFonts w:hint="eastAsia" w:ascii="宋体" w:hAnsi="宋体"/>
                <w:color w:val="000000"/>
                <w:kern w:val="0"/>
                <w:sz w:val="18"/>
                <w:szCs w:val="18"/>
              </w:rPr>
            </w:pPr>
          </w:p>
        </w:tc>
        <w:tc>
          <w:tcPr>
            <w:tcW w:w="730" w:type="dxa"/>
            <w:tcBorders>
              <w:left w:val="single" w:color="000000" w:sz="8" w:space="0"/>
              <w:bottom w:val="single" w:color="000000" w:sz="8" w:space="0"/>
              <w:right w:val="single" w:color="000000" w:sz="8" w:space="0"/>
            </w:tcBorders>
            <w:noWrap w:val="0"/>
            <w:vAlign w:val="center"/>
          </w:tcPr>
          <w:p>
            <w:pPr>
              <w:rPr>
                <w:rFonts w:hint="eastAsia" w:ascii="宋体" w:hAnsi="宋体"/>
                <w:color w:val="000000"/>
                <w:kern w:val="0"/>
                <w:sz w:val="18"/>
                <w:szCs w:val="18"/>
              </w:rPr>
            </w:pPr>
          </w:p>
        </w:tc>
        <w:tc>
          <w:tcPr>
            <w:tcW w:w="2186" w:type="dxa"/>
            <w:tcBorders>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cs="宋体"/>
                <w:color w:val="000000"/>
                <w:kern w:val="0"/>
                <w:sz w:val="20"/>
                <w:szCs w:val="20"/>
                <w:lang w:bidi="ar"/>
              </w:rPr>
            </w:pPr>
          </w:p>
        </w:tc>
        <w:tc>
          <w:tcPr>
            <w:tcW w:w="2186" w:type="dxa"/>
            <w:tcBorders>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cs="宋体"/>
                <w:color w:val="000000"/>
                <w:kern w:val="0"/>
                <w:sz w:val="20"/>
                <w:szCs w:val="20"/>
                <w:lang w:bidi="ar"/>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pPr>
              <w:widowControl/>
              <w:jc w:val="right"/>
              <w:textAlignment w:val="center"/>
              <w:rPr>
                <w:rFonts w:hint="eastAsia" w:ascii="宋体" w:hAnsi="宋体" w:cs="宋体"/>
                <w:color w:val="000000"/>
                <w:kern w:val="0"/>
                <w:sz w:val="20"/>
                <w:szCs w:val="20"/>
                <w:lang w:bidi="ar"/>
              </w:rPr>
            </w:pP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pPr>
              <w:widowControl/>
              <w:jc w:val="right"/>
              <w:textAlignment w:val="center"/>
              <w:rPr>
                <w:rFonts w:hint="eastAsia" w:ascii="宋体" w:hAnsi="宋体" w:cs="宋体"/>
                <w:color w:val="000000"/>
                <w:kern w:val="0"/>
                <w:sz w:val="20"/>
                <w:szCs w:val="20"/>
                <w:lang w:bidi="ar"/>
              </w:rPr>
            </w:pPr>
          </w:p>
        </w:tc>
        <w:tc>
          <w:tcPr>
            <w:tcW w:w="2917" w:type="dxa"/>
            <w:tcBorders>
              <w:top w:val="single" w:color="000000" w:sz="8" w:space="0"/>
              <w:left w:val="single" w:color="000000" w:sz="8" w:space="0"/>
              <w:bottom w:val="single" w:color="000000" w:sz="8" w:space="0"/>
              <w:right w:val="single" w:color="000000" w:sz="8" w:space="0"/>
            </w:tcBorders>
            <w:noWrap w:val="0"/>
            <w:vAlign w:val="center"/>
          </w:tcPr>
          <w:p>
            <w:pPr>
              <w:widowControl/>
              <w:jc w:val="right"/>
              <w:textAlignment w:val="center"/>
              <w:rPr>
                <w:rFonts w:hint="eastAsia" w:ascii="宋体" w:hAnsi="宋体" w:cs="宋体"/>
                <w:color w:val="000000"/>
                <w:kern w:val="0"/>
                <w:sz w:val="20"/>
                <w:szCs w:val="20"/>
                <w:lang w:bidi="ar"/>
              </w:rPr>
            </w:pPr>
          </w:p>
        </w:tc>
      </w:tr>
    </w:tbl>
    <w:p>
      <w:pPr>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 xml:space="preserve">注： </w:t>
      </w:r>
      <w:r>
        <w:rPr>
          <w:rFonts w:hint="eastAsia" w:ascii="宋体" w:hAnsi="宋体"/>
          <w:color w:val="000000"/>
          <w:kern w:val="0"/>
          <w:sz w:val="18"/>
          <w:szCs w:val="18"/>
        </w:rPr>
        <w:t>本报表金额单位转换时可能存在四舍五入尾数误差。</w:t>
      </w:r>
    </w:p>
    <w:p>
      <w:pPr>
        <w:rPr>
          <w:rFonts w:ascii="宋体" w:hAnsi="宋体" w:cs="宋体"/>
          <w:color w:val="000000"/>
          <w:kern w:val="0"/>
          <w:sz w:val="18"/>
          <w:szCs w:val="18"/>
          <w:lang w:bidi="ar"/>
        </w:rPr>
      </w:pPr>
      <w:r>
        <w:rPr>
          <w:rFonts w:hint="eastAsia" w:ascii="宋体" w:hAnsi="宋体"/>
          <w:color w:val="000000"/>
          <w:kern w:val="0"/>
          <w:sz w:val="18"/>
          <w:szCs w:val="18"/>
        </w:rPr>
        <w:t>本部门</w:t>
      </w:r>
      <w:r>
        <w:rPr>
          <w:rFonts w:hint="eastAsia" w:ascii="宋体" w:hAnsi="宋体"/>
          <w:color w:val="000000"/>
          <w:kern w:val="0"/>
          <w:sz w:val="18"/>
          <w:szCs w:val="18"/>
          <w:lang w:val="en-US" w:eastAsia="zh-CN"/>
        </w:rPr>
        <w:t>2025</w:t>
      </w:r>
      <w:r>
        <w:rPr>
          <w:rFonts w:hint="eastAsia" w:ascii="宋体" w:hAnsi="宋体"/>
          <w:color w:val="000000"/>
          <w:kern w:val="0"/>
          <w:sz w:val="18"/>
          <w:szCs w:val="18"/>
        </w:rPr>
        <w:t>年度没有国有资本经营预算支出，故本表无数据。</w:t>
      </w:r>
      <w:r>
        <w:rPr>
          <w:rFonts w:hint="eastAsia" w:ascii="宋体" w:hAnsi="宋体" w:cs="宋体"/>
          <w:color w:val="000000"/>
          <w:kern w:val="0"/>
          <w:sz w:val="18"/>
          <w:szCs w:val="18"/>
          <w:lang w:bidi="ar"/>
        </w:rPr>
        <w:t xml:space="preserve">    </w:t>
      </w:r>
    </w:p>
    <w:p>
      <w:pPr>
        <w:rPr>
          <w:rFonts w:hint="eastAsia" w:ascii="宋体" w:hAnsi="宋体"/>
          <w:color w:val="000000"/>
          <w:kern w:val="0"/>
          <w:sz w:val="18"/>
          <w:szCs w:val="18"/>
          <w:lang w:val="en-US" w:eastAsia="zh-CN"/>
        </w:rPr>
      </w:pPr>
    </w:p>
    <w:p>
      <w:pPr>
        <w:rPr>
          <w:rFonts w:hint="eastAsia" w:ascii="宋体" w:hAnsi="宋体"/>
          <w:color w:val="000000"/>
          <w:kern w:val="0"/>
          <w:sz w:val="18"/>
          <w:szCs w:val="18"/>
          <w:lang w:val="en-US" w:eastAsia="zh-CN"/>
        </w:rPr>
      </w:pPr>
    </w:p>
    <w:p>
      <w:pPr>
        <w:rPr>
          <w:rFonts w:hint="eastAsia" w:ascii="宋体" w:hAnsi="宋体"/>
          <w:b/>
          <w:bCs/>
          <w:color w:val="000000"/>
          <w:kern w:val="0"/>
          <w:sz w:val="26"/>
          <w:szCs w:val="26"/>
          <w:lang w:val="en-US" w:eastAsia="zh-CN"/>
        </w:rPr>
      </w:pPr>
      <w:r>
        <w:rPr>
          <w:rFonts w:hint="eastAsia" w:ascii="宋体" w:hAnsi="宋体"/>
          <w:b/>
          <w:bCs/>
          <w:color w:val="000000"/>
          <w:kern w:val="0"/>
          <w:sz w:val="26"/>
          <w:szCs w:val="26"/>
          <w:lang w:val="en-US" w:eastAsia="zh-CN"/>
        </w:rPr>
        <w:t>表10 市本级项目绩效目标公开表（详见附件）</w:t>
      </w:r>
    </w:p>
    <w:p>
      <w:pPr>
        <w:rPr>
          <w:rFonts w:hint="eastAsia" w:ascii="宋体" w:hAnsi="宋体"/>
          <w:b/>
          <w:bCs/>
          <w:color w:val="000000"/>
          <w:kern w:val="0"/>
          <w:sz w:val="26"/>
          <w:szCs w:val="26"/>
          <w:lang w:val="en-US" w:eastAsia="zh-CN"/>
        </w:rPr>
        <w:sectPr>
          <w:pgSz w:w="16838" w:h="11906" w:orient="landscape"/>
          <w:pgMar w:top="1800" w:right="1440" w:bottom="1800" w:left="1440" w:header="851" w:footer="992" w:gutter="0"/>
          <w:cols w:space="720" w:num="1"/>
          <w:docGrid w:type="lines" w:linePitch="312" w:charSpace="0"/>
        </w:sectPr>
      </w:pPr>
      <w:r>
        <w:rPr>
          <w:rFonts w:hint="eastAsia" w:ascii="宋体" w:hAnsi="宋体"/>
          <w:b/>
          <w:bCs/>
          <w:color w:val="000000"/>
          <w:kern w:val="0"/>
          <w:sz w:val="26"/>
          <w:szCs w:val="26"/>
          <w:lang w:val="en-US" w:eastAsia="zh-CN"/>
        </w:rPr>
        <w:t>表11 市本级重点项目绩效目标公开表（详见附件）</w:t>
      </w:r>
    </w:p>
    <w:p>
      <w:pPr>
        <w:rPr>
          <w:rFonts w:hint="eastAsia" w:ascii="宋体" w:hAnsi="宋体" w:cs="宋体"/>
          <w:color w:val="000000"/>
          <w:kern w:val="0"/>
          <w:sz w:val="18"/>
          <w:szCs w:val="18"/>
          <w:lang w:bidi="ar"/>
        </w:rPr>
      </w:pPr>
    </w:p>
    <w:p>
      <w:pPr>
        <w:tabs>
          <w:tab w:val="center" w:pos="6979"/>
        </w:tabs>
        <w:ind w:firstLine="440" w:firstLineChars="100"/>
        <w:jc w:val="center"/>
        <w:outlineLvl w:val="0"/>
        <w:rPr>
          <w:rFonts w:ascii="黑体" w:hAnsi="黑体" w:eastAsia="黑体" w:cs="方正小标宋简体"/>
          <w:sz w:val="44"/>
          <w:szCs w:val="44"/>
        </w:rPr>
      </w:pPr>
      <w:r>
        <w:rPr>
          <w:rFonts w:hint="eastAsia" w:ascii="黑体" w:hAnsi="黑体" w:eastAsia="黑体" w:cs="方正小标宋简体"/>
          <w:sz w:val="44"/>
          <w:szCs w:val="44"/>
        </w:rPr>
        <w:t xml:space="preserve">第三部分  </w:t>
      </w:r>
      <w:bookmarkStart w:id="32" w:name="PO_part3Year1"/>
      <w:r>
        <w:rPr>
          <w:rFonts w:hint="eastAsia" w:ascii="黑体" w:hAnsi="黑体" w:eastAsia="黑体" w:cs="方正小标宋简体"/>
          <w:sz w:val="44"/>
          <w:szCs w:val="44"/>
          <w:lang w:val="en-US" w:eastAsia="zh-CN"/>
        </w:rPr>
        <w:t>百色市信访局 2025</w:t>
      </w:r>
      <w:r>
        <w:rPr>
          <w:rFonts w:ascii="方正小标宋简体" w:hAnsi="方正小标宋简体" w:eastAsia="方正小标宋简体" w:cs="方正小标宋简体"/>
          <w:sz w:val="11"/>
          <w:szCs w:val="11"/>
        </w:rPr>
        <w:t xml:space="preserve"> </w:t>
      </w:r>
      <w:bookmarkEnd w:id="32"/>
      <w:r>
        <w:rPr>
          <w:rFonts w:hint="eastAsia" w:ascii="黑体" w:hAnsi="黑体" w:eastAsia="黑体" w:cs="方正小标宋简体"/>
          <w:sz w:val="44"/>
          <w:szCs w:val="44"/>
        </w:rPr>
        <w:t>年部门预算情况说明</w:t>
      </w:r>
    </w:p>
    <w:p>
      <w:pPr>
        <w:numPr>
          <w:ilvl w:val="0"/>
          <w:numId w:val="0"/>
        </w:numPr>
        <w:ind w:firstLine="640" w:firstLineChars="20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部门预算收支总体情况说明</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bookmarkStart w:id="33" w:name="PO_part3A1Year1"/>
      <w:r>
        <w:rPr>
          <w:rFonts w:hint="eastAsia" w:ascii="仿宋_GB2312" w:hAnsi="仿宋_GB2312" w:eastAsia="仿宋_GB2312" w:cs="仿宋_GB2312"/>
          <w:sz w:val="30"/>
          <w:szCs w:val="30"/>
          <w:lang w:val="en-US" w:eastAsia="zh-CN"/>
        </w:rPr>
        <w:t>2025</w:t>
      </w:r>
      <w:bookmarkEnd w:id="33"/>
      <w:r>
        <w:rPr>
          <w:rFonts w:hint="eastAsia" w:ascii="仿宋_GB2312" w:hAnsi="仿宋_GB2312" w:eastAsia="仿宋_GB2312" w:cs="仿宋_GB2312"/>
          <w:sz w:val="30"/>
          <w:szCs w:val="30"/>
        </w:rPr>
        <w:t>年本部门</w:t>
      </w:r>
      <w:r>
        <w:rPr>
          <w:rFonts w:hint="eastAsia" w:ascii="仿宋_GB2312" w:hAnsi="仿宋_GB2312" w:eastAsia="仿宋_GB2312" w:cs="仿宋_GB2312"/>
          <w:sz w:val="30"/>
          <w:szCs w:val="30"/>
          <w:lang w:val="en-US" w:eastAsia="zh-CN"/>
        </w:rPr>
        <w:t>总</w:t>
      </w:r>
      <w:r>
        <w:rPr>
          <w:rFonts w:hint="eastAsia" w:ascii="仿宋_GB2312" w:hAnsi="仿宋_GB2312" w:eastAsia="仿宋_GB2312" w:cs="仿宋_GB2312"/>
          <w:sz w:val="30"/>
          <w:szCs w:val="30"/>
        </w:rPr>
        <w:t>收入536.93万元，</w:t>
      </w:r>
      <w:bookmarkStart w:id="34" w:name="PO_part3A1IncAmount1"/>
      <w:r>
        <w:rPr>
          <w:rFonts w:hint="eastAsia" w:ascii="仿宋_GB2312" w:hAnsi="仿宋_GB2312" w:eastAsia="仿宋_GB2312" w:cs="仿宋_GB2312"/>
          <w:sz w:val="30"/>
          <w:szCs w:val="30"/>
        </w:rPr>
        <w:t>比上年减少</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48.05万元，下降</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8.21%，</w:t>
      </w:r>
      <w:bookmarkEnd w:id="34"/>
      <w:r>
        <w:rPr>
          <w:rFonts w:hint="eastAsia" w:ascii="仿宋_GB2312" w:hAnsi="仿宋_GB2312" w:eastAsia="仿宋_GB2312" w:cs="仿宋_GB2312"/>
          <w:sz w:val="30"/>
          <w:szCs w:val="30"/>
        </w:rPr>
        <w:t>主要原因是：</w:t>
      </w:r>
      <w:bookmarkStart w:id="35" w:name="PO_part3A1IncReason1"/>
      <w:r>
        <w:rPr>
          <w:rFonts w:hint="eastAsia" w:ascii="仿宋_GB2312" w:hAnsi="仿宋_GB2312" w:eastAsia="仿宋_GB2312" w:cs="仿宋_GB2312"/>
          <w:sz w:val="30"/>
          <w:szCs w:val="30"/>
        </w:rPr>
        <w:t xml:space="preserve">人员变动，本级一般公共预算减少； </w:t>
      </w:r>
      <w:bookmarkEnd w:id="35"/>
      <w:r>
        <w:rPr>
          <w:rFonts w:hint="eastAsia" w:ascii="仿宋_GB2312" w:hAnsi="仿宋_GB2312" w:eastAsia="仿宋_GB2312" w:cs="仿宋_GB2312"/>
          <w:sz w:val="30"/>
          <w:szCs w:val="30"/>
          <w:lang w:val="en-US" w:eastAsia="zh-CN"/>
        </w:rPr>
        <w:t>总支</w:t>
      </w:r>
      <w:r>
        <w:rPr>
          <w:rFonts w:hint="eastAsia" w:ascii="仿宋_GB2312" w:hAnsi="仿宋_GB2312" w:eastAsia="仿宋_GB2312" w:cs="仿宋_GB2312"/>
          <w:sz w:val="30"/>
          <w:szCs w:val="30"/>
        </w:rPr>
        <w:t>出</w:t>
      </w:r>
      <w:bookmarkStart w:id="36" w:name="PO_part3A1Amount2"/>
      <w:r>
        <w:rPr>
          <w:rFonts w:hint="eastAsia" w:ascii="仿宋_GB2312" w:hAnsi="仿宋_GB2312" w:eastAsia="仿宋_GB2312" w:cs="仿宋_GB2312"/>
          <w:sz w:val="30"/>
          <w:szCs w:val="30"/>
        </w:rPr>
        <w:t>536.93</w:t>
      </w:r>
      <w:r>
        <w:rPr>
          <w:rFonts w:ascii="仿宋_GB2312" w:hAnsi="仿宋_GB2312" w:eastAsia="仿宋_GB2312" w:cs="仿宋_GB2312"/>
          <w:sz w:val="30"/>
          <w:szCs w:val="30"/>
        </w:rPr>
        <w:t xml:space="preserve"> </w:t>
      </w:r>
      <w:bookmarkEnd w:id="36"/>
      <w:r>
        <w:rPr>
          <w:rFonts w:hint="eastAsia" w:ascii="仿宋_GB2312" w:hAnsi="仿宋_GB2312" w:eastAsia="仿宋_GB2312" w:cs="仿宋_GB2312"/>
          <w:sz w:val="30"/>
          <w:szCs w:val="30"/>
        </w:rPr>
        <w:t>万元（不含财政拨款上年未列支结转收支数），</w:t>
      </w:r>
      <w:bookmarkStart w:id="37" w:name="PO_part3A1IncAmount2"/>
      <w:r>
        <w:rPr>
          <w:rFonts w:hint="eastAsia" w:ascii="仿宋_GB2312" w:hAnsi="仿宋_GB2312" w:eastAsia="仿宋_GB2312" w:cs="仿宋_GB2312"/>
          <w:sz w:val="30"/>
          <w:szCs w:val="30"/>
        </w:rPr>
        <w:t>比上年减少</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48.05</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万元，下降</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8.21%， </w:t>
      </w:r>
      <w:bookmarkEnd w:id="37"/>
      <w:r>
        <w:rPr>
          <w:rFonts w:hint="eastAsia" w:ascii="仿宋_GB2312" w:hAnsi="仿宋_GB2312" w:eastAsia="仿宋_GB2312" w:cs="仿宋_GB2312"/>
          <w:sz w:val="30"/>
          <w:szCs w:val="30"/>
        </w:rPr>
        <w:t>主要原因是：</w:t>
      </w:r>
      <w:bookmarkStart w:id="38" w:name="PO_part3A1IncReason2"/>
      <w:r>
        <w:rPr>
          <w:rFonts w:hint="eastAsia" w:ascii="仿宋_GB2312" w:hAnsi="仿宋_GB2312" w:eastAsia="仿宋_GB2312" w:cs="仿宋_GB2312"/>
          <w:sz w:val="30"/>
          <w:szCs w:val="30"/>
        </w:rPr>
        <w:t xml:space="preserve">人员变动，本级一般公共服务支出、社会保障和就业支出、卫生健康支出及住房保障支出减少。 </w:t>
      </w:r>
      <w:bookmarkEnd w:id="38"/>
    </w:p>
    <w:p>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部门收入总体情况说明</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2025年收入总预算</w:t>
      </w:r>
      <w:bookmarkStart w:id="39" w:name="PO_part3A2Amount1"/>
      <w:r>
        <w:rPr>
          <w:rFonts w:hint="eastAsia" w:ascii="仿宋_GB2312" w:hAnsi="仿宋_GB2312" w:eastAsia="仿宋_GB2312" w:cs="仿宋_GB2312"/>
          <w:sz w:val="30"/>
          <w:szCs w:val="30"/>
          <w:lang w:val="en-US" w:eastAsia="zh-CN"/>
        </w:rPr>
        <w:t xml:space="preserve">536.93 </w:t>
      </w:r>
      <w:bookmarkEnd w:id="39"/>
      <w:r>
        <w:rPr>
          <w:rFonts w:hint="eastAsia" w:ascii="仿宋_GB2312" w:hAnsi="仿宋_GB2312" w:eastAsia="仿宋_GB2312" w:cs="仿宋_GB2312"/>
          <w:sz w:val="30"/>
          <w:szCs w:val="30"/>
          <w:lang w:val="en-US" w:eastAsia="zh-CN"/>
        </w:rPr>
        <w:t>万元，</w:t>
      </w:r>
      <w:bookmarkStart w:id="40" w:name="PO_part3A2IncAmount1"/>
      <w:r>
        <w:rPr>
          <w:rFonts w:hint="eastAsia" w:ascii="仿宋_GB2312" w:hAnsi="仿宋_GB2312" w:eastAsia="仿宋_GB2312" w:cs="仿宋_GB2312"/>
          <w:sz w:val="30"/>
          <w:szCs w:val="30"/>
          <w:lang w:val="en-US" w:eastAsia="zh-CN"/>
        </w:rPr>
        <w:t xml:space="preserve">比上年减少48.05万元，下降8.21%。 </w:t>
      </w:r>
      <w:bookmarkEnd w:id="40"/>
      <w:r>
        <w:rPr>
          <w:rFonts w:hint="eastAsia" w:ascii="仿宋_GB2312" w:hAnsi="仿宋_GB2312" w:eastAsia="仿宋_GB2312" w:cs="仿宋_GB2312"/>
          <w:sz w:val="30"/>
          <w:szCs w:val="30"/>
          <w:lang w:val="en-US" w:eastAsia="zh-CN"/>
        </w:rPr>
        <w:t>其中：</w:t>
      </w:r>
      <w:bookmarkStart w:id="41" w:name="PO_part3A2IncReason1"/>
      <w:r>
        <w:rPr>
          <w:rFonts w:hint="eastAsia" w:ascii="仿宋_GB2312" w:hAnsi="仿宋_GB2312" w:eastAsia="仿宋_GB2312" w:cs="仿宋_GB2312"/>
          <w:sz w:val="30"/>
          <w:szCs w:val="30"/>
          <w:lang w:val="en-US" w:eastAsia="zh-CN"/>
        </w:rPr>
        <w:t xml:space="preserve">一般公共预算收入536.93万元，占收入总预算100.00%，比上年减少48.05万元，下降8.21%；政府性基金预算收入0万元，占收入总预算0.00%，与上年持平，无增减变化；国有资本经营预算0万元，占收入总预算0.00%，与上年持平，无增减变化；财政专户管理资金0万元，占收入总预算0.00%，与上年持平，无增减变化；单位资金0万元，占收入总预算0.00%，与上年持平，无增减变化；上年结转结余0万元，占收入总预算0.00%，与上年持平，无增减变化。 </w:t>
      </w:r>
      <w:bookmarkEnd w:id="41"/>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2025年收入预算总体</w:t>
      </w:r>
      <w:bookmarkStart w:id="42" w:name="PO_part3A2Amount2"/>
      <w:r>
        <w:rPr>
          <w:rFonts w:hint="eastAsia" w:ascii="仿宋_GB2312" w:hAnsi="仿宋_GB2312" w:eastAsia="仿宋_GB2312" w:cs="仿宋_GB2312"/>
          <w:sz w:val="30"/>
          <w:szCs w:val="30"/>
          <w:lang w:val="en-US" w:eastAsia="zh-CN"/>
        </w:rPr>
        <w:t xml:space="preserve">减少 </w:t>
      </w:r>
      <w:bookmarkEnd w:id="42"/>
      <w:r>
        <w:rPr>
          <w:rFonts w:hint="eastAsia" w:ascii="仿宋_GB2312" w:hAnsi="仿宋_GB2312" w:eastAsia="仿宋_GB2312" w:cs="仿宋_GB2312"/>
          <w:sz w:val="30"/>
          <w:szCs w:val="30"/>
          <w:lang w:val="en-US" w:eastAsia="zh-CN"/>
        </w:rPr>
        <w:t>，主要原因是：</w:t>
      </w:r>
      <w:bookmarkStart w:id="43" w:name="PO_part3A2IncReason2"/>
      <w:r>
        <w:rPr>
          <w:rFonts w:hint="eastAsia" w:ascii="仿宋_GB2312" w:hAnsi="仿宋_GB2312" w:eastAsia="仿宋_GB2312" w:cs="仿宋_GB2312"/>
          <w:sz w:val="30"/>
          <w:szCs w:val="30"/>
          <w:lang w:val="en-US" w:eastAsia="zh-CN"/>
        </w:rPr>
        <w:t>人员减少，涉及的人员经费的预算收入减少。</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黑体" w:hAnsi="黑体" w:eastAsia="黑体" w:cs="黑体"/>
          <w:sz w:val="32"/>
          <w:szCs w:val="32"/>
        </w:rPr>
      </w:pPr>
      <w:r>
        <w:rPr>
          <w:rFonts w:hint="eastAsia" w:ascii="仿宋_GB2312" w:hAnsi="仿宋_GB2312" w:eastAsia="仿宋_GB2312" w:cs="仿宋_GB2312"/>
          <w:b/>
          <w:bCs/>
          <w:sz w:val="30"/>
          <w:szCs w:val="30"/>
        </w:rPr>
        <w:t xml:space="preserve"> </w:t>
      </w:r>
      <w:bookmarkEnd w:id="43"/>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rPr>
        <w:t>部门支出总体情况说明</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bookmarkStart w:id="44" w:name="PO_part3A3Amount1"/>
      <w:r>
        <w:rPr>
          <w:rFonts w:hint="eastAsia" w:ascii="仿宋_GB2312" w:hAnsi="仿宋_GB2312" w:eastAsia="仿宋_GB2312" w:cs="仿宋_GB2312"/>
          <w:sz w:val="30"/>
          <w:szCs w:val="30"/>
          <w:lang w:val="en-US" w:eastAsia="zh-CN"/>
        </w:rPr>
        <w:t>2025</w:t>
      </w:r>
      <w:bookmarkEnd w:id="44"/>
      <w:r>
        <w:rPr>
          <w:rFonts w:hint="eastAsia" w:ascii="仿宋_GB2312" w:hAnsi="仿宋_GB2312" w:eastAsia="仿宋_GB2312" w:cs="仿宋_GB2312"/>
          <w:sz w:val="30"/>
          <w:szCs w:val="30"/>
          <w:lang w:val="en-US" w:eastAsia="zh-CN"/>
        </w:rPr>
        <w:t>年支出总预算</w:t>
      </w:r>
      <w:bookmarkStart w:id="45" w:name="PO_part3A3Amount2"/>
      <w:r>
        <w:rPr>
          <w:rFonts w:hint="eastAsia" w:ascii="仿宋_GB2312" w:hAnsi="仿宋_GB2312" w:eastAsia="仿宋_GB2312" w:cs="仿宋_GB2312"/>
          <w:sz w:val="30"/>
          <w:szCs w:val="30"/>
          <w:lang w:val="en-US" w:eastAsia="zh-CN"/>
        </w:rPr>
        <w:t xml:space="preserve">536.93 </w:t>
      </w:r>
      <w:bookmarkEnd w:id="45"/>
      <w:r>
        <w:rPr>
          <w:rFonts w:hint="eastAsia" w:ascii="仿宋_GB2312" w:hAnsi="仿宋_GB2312" w:eastAsia="仿宋_GB2312" w:cs="仿宋_GB2312"/>
          <w:sz w:val="30"/>
          <w:szCs w:val="30"/>
          <w:lang w:val="en-US" w:eastAsia="zh-CN"/>
        </w:rPr>
        <w:t>万元，其中：基本支出预算</w:t>
      </w:r>
      <w:bookmarkStart w:id="46" w:name="PO_part3A3Amount3"/>
      <w:r>
        <w:rPr>
          <w:rFonts w:hint="eastAsia" w:ascii="仿宋_GB2312" w:hAnsi="仿宋_GB2312" w:eastAsia="仿宋_GB2312" w:cs="仿宋_GB2312"/>
          <w:sz w:val="30"/>
          <w:szCs w:val="30"/>
          <w:lang w:val="en-US" w:eastAsia="zh-CN"/>
        </w:rPr>
        <w:t xml:space="preserve">393.45 </w:t>
      </w:r>
      <w:bookmarkEnd w:id="46"/>
      <w:r>
        <w:rPr>
          <w:rFonts w:hint="eastAsia" w:ascii="仿宋_GB2312" w:hAnsi="仿宋_GB2312" w:eastAsia="仿宋_GB2312" w:cs="仿宋_GB2312"/>
          <w:sz w:val="30"/>
          <w:szCs w:val="30"/>
          <w:lang w:val="en-US" w:eastAsia="zh-CN"/>
        </w:rPr>
        <w:t>万元，占支出总预算</w:t>
      </w:r>
      <w:bookmarkStart w:id="47" w:name="PO_part3A3Amount4"/>
      <w:r>
        <w:rPr>
          <w:rFonts w:hint="eastAsia" w:ascii="仿宋_GB2312" w:hAnsi="仿宋_GB2312" w:eastAsia="仿宋_GB2312" w:cs="仿宋_GB2312"/>
          <w:sz w:val="30"/>
          <w:szCs w:val="30"/>
          <w:lang w:val="en-US" w:eastAsia="zh-CN"/>
        </w:rPr>
        <w:t xml:space="preserve">73.28 </w:t>
      </w:r>
      <w:bookmarkEnd w:id="47"/>
      <w:r>
        <w:rPr>
          <w:rFonts w:hint="eastAsia" w:ascii="仿宋_GB2312" w:hAnsi="仿宋_GB2312" w:eastAsia="仿宋_GB2312" w:cs="仿宋_GB2312"/>
          <w:sz w:val="30"/>
          <w:szCs w:val="30"/>
          <w:lang w:val="en-US" w:eastAsia="zh-CN"/>
        </w:rPr>
        <w:t>%，</w:t>
      </w:r>
      <w:bookmarkStart w:id="48" w:name="PO_part3A3IncReason1"/>
      <w:r>
        <w:rPr>
          <w:rFonts w:hint="eastAsia" w:ascii="仿宋_GB2312" w:hAnsi="仿宋_GB2312" w:eastAsia="仿宋_GB2312" w:cs="仿宋_GB2312"/>
          <w:sz w:val="30"/>
          <w:szCs w:val="30"/>
          <w:lang w:val="en-US" w:eastAsia="zh-CN"/>
        </w:rPr>
        <w:t xml:space="preserve">比上年减少51.05万元，下降11.48%。主要原因是：人员减少，涉及的人员经费的预算支出减少。 </w:t>
      </w:r>
      <w:bookmarkEnd w:id="48"/>
      <w:r>
        <w:rPr>
          <w:rFonts w:hint="eastAsia" w:ascii="仿宋_GB2312" w:hAnsi="仿宋_GB2312" w:eastAsia="仿宋_GB2312" w:cs="仿宋_GB2312"/>
          <w:sz w:val="30"/>
          <w:szCs w:val="30"/>
          <w:lang w:val="en-US" w:eastAsia="zh-CN"/>
        </w:rPr>
        <w:t>项目支出预算</w:t>
      </w:r>
      <w:bookmarkStart w:id="49" w:name="PO_part3A3Amount5"/>
      <w:r>
        <w:rPr>
          <w:rFonts w:hint="eastAsia" w:ascii="仿宋_GB2312" w:hAnsi="仿宋_GB2312" w:eastAsia="仿宋_GB2312" w:cs="仿宋_GB2312"/>
          <w:sz w:val="30"/>
          <w:szCs w:val="30"/>
          <w:lang w:val="en-US" w:eastAsia="zh-CN"/>
        </w:rPr>
        <w:t>143.48</w:t>
      </w:r>
      <w:bookmarkEnd w:id="49"/>
      <w:r>
        <w:rPr>
          <w:rFonts w:hint="eastAsia" w:ascii="仿宋_GB2312" w:hAnsi="仿宋_GB2312" w:eastAsia="仿宋_GB2312" w:cs="仿宋_GB2312"/>
          <w:sz w:val="30"/>
          <w:szCs w:val="30"/>
          <w:lang w:val="en-US" w:eastAsia="zh-CN"/>
        </w:rPr>
        <w:t>万元，占支出总预算</w:t>
      </w:r>
      <w:bookmarkStart w:id="50" w:name="PO_part3A3Amount6"/>
      <w:r>
        <w:rPr>
          <w:rFonts w:hint="eastAsia" w:ascii="仿宋_GB2312" w:hAnsi="仿宋_GB2312" w:eastAsia="仿宋_GB2312" w:cs="仿宋_GB2312"/>
          <w:sz w:val="30"/>
          <w:szCs w:val="30"/>
          <w:lang w:val="en-US" w:eastAsia="zh-CN"/>
        </w:rPr>
        <w:t xml:space="preserve">26.72 </w:t>
      </w:r>
      <w:bookmarkEnd w:id="50"/>
      <w:r>
        <w:rPr>
          <w:rFonts w:hint="eastAsia" w:ascii="仿宋_GB2312" w:hAnsi="仿宋_GB2312" w:eastAsia="仿宋_GB2312" w:cs="仿宋_GB2312"/>
          <w:sz w:val="30"/>
          <w:szCs w:val="30"/>
          <w:lang w:val="en-US" w:eastAsia="zh-CN"/>
        </w:rPr>
        <w:t>%，</w:t>
      </w:r>
      <w:bookmarkStart w:id="51" w:name="PO_part3A3IncReason2"/>
      <w:r>
        <w:rPr>
          <w:rFonts w:hint="eastAsia" w:ascii="仿宋_GB2312" w:hAnsi="仿宋_GB2312" w:eastAsia="仿宋_GB2312" w:cs="仿宋_GB2312"/>
          <w:sz w:val="30"/>
          <w:szCs w:val="30"/>
          <w:lang w:val="en-US" w:eastAsia="zh-CN"/>
        </w:rPr>
        <w:t>比上年增加3万元，增长2.14%。主要原因是：群众信访服务中心物业管理需要增加费用。</w:t>
      </w:r>
      <w:bookmarkEnd w:id="51"/>
      <w:bookmarkStart w:id="52" w:name="PO_part3A3IncReason7"/>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2"/>
          <w:szCs w:val="32"/>
        </w:rPr>
      </w:pPr>
      <w:r>
        <w:rPr>
          <w:rFonts w:hint="eastAsia" w:ascii="仿宋_GB2312" w:hAnsi="仿宋_GB2312" w:eastAsia="仿宋_GB2312" w:cs="仿宋_GB2312"/>
          <w:sz w:val="30"/>
          <w:szCs w:val="30"/>
        </w:rPr>
        <w:t xml:space="preserve"> </w:t>
      </w:r>
      <w:bookmarkEnd w:id="52"/>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rPr>
        <w:t>财政拨款收支总体情况说明</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bookmarkStart w:id="53" w:name="PO_part3A4Year1"/>
      <w:r>
        <w:rPr>
          <w:rFonts w:hint="eastAsia" w:ascii="仿宋_GB2312" w:hAnsi="仿宋_GB2312" w:eastAsia="仿宋_GB2312" w:cs="仿宋_GB2312"/>
          <w:sz w:val="30"/>
          <w:szCs w:val="30"/>
          <w:lang w:val="en-US" w:eastAsia="zh-CN"/>
        </w:rPr>
        <w:t xml:space="preserve">2025 </w:t>
      </w:r>
      <w:bookmarkEnd w:id="53"/>
      <w:r>
        <w:rPr>
          <w:rFonts w:hint="eastAsia" w:ascii="仿宋_GB2312" w:hAnsi="仿宋_GB2312" w:eastAsia="仿宋_GB2312" w:cs="仿宋_GB2312"/>
          <w:sz w:val="30"/>
          <w:szCs w:val="30"/>
          <w:lang w:val="en-US" w:eastAsia="zh-CN"/>
        </w:rPr>
        <w:t>年财政拨款收入总预算536.93万元，</w:t>
      </w:r>
      <w:bookmarkStart w:id="54" w:name="PO_part3A4IncAmount1"/>
      <w:r>
        <w:rPr>
          <w:rFonts w:hint="eastAsia" w:ascii="仿宋_GB2312" w:hAnsi="仿宋_GB2312" w:eastAsia="仿宋_GB2312" w:cs="仿宋_GB2312"/>
          <w:sz w:val="30"/>
          <w:szCs w:val="30"/>
          <w:lang w:val="en-US" w:eastAsia="zh-CN"/>
        </w:rPr>
        <w:t>比上年减少48.05万元，下降8.21%。</w:t>
      </w:r>
      <w:bookmarkEnd w:id="54"/>
      <w:bookmarkStart w:id="55" w:name="PO_part3A4IncReason1"/>
      <w:r>
        <w:rPr>
          <w:rFonts w:hint="eastAsia" w:ascii="仿宋_GB2312" w:hAnsi="仿宋_GB2312" w:eastAsia="仿宋_GB2312" w:cs="仿宋_GB2312"/>
          <w:sz w:val="30"/>
          <w:szCs w:val="30"/>
          <w:lang w:val="en-US" w:eastAsia="zh-CN"/>
        </w:rPr>
        <w:t xml:space="preserve">收入包括：一般公共预算拨款536.93万元；政府性基金预算拨款0.00万元；国有资本经营预算拨款0.00万元；上年结转结余0.00万元。 </w:t>
      </w:r>
      <w:bookmarkEnd w:id="55"/>
      <w:r>
        <w:rPr>
          <w:rFonts w:hint="eastAsia" w:ascii="仿宋_GB2312" w:hAnsi="仿宋_GB2312" w:eastAsia="仿宋_GB2312" w:cs="仿宋_GB2312"/>
          <w:sz w:val="30"/>
          <w:szCs w:val="30"/>
          <w:lang w:val="en-US" w:eastAsia="zh-CN"/>
        </w:rPr>
        <w:t>财政拨款</w:t>
      </w:r>
      <w:bookmarkStart w:id="56" w:name="PO_part3A4IncAmount2"/>
      <w:r>
        <w:rPr>
          <w:rFonts w:hint="eastAsia" w:ascii="仿宋_GB2312" w:hAnsi="仿宋_GB2312" w:eastAsia="仿宋_GB2312" w:cs="仿宋_GB2312"/>
          <w:sz w:val="30"/>
          <w:szCs w:val="30"/>
          <w:lang w:val="en-US" w:eastAsia="zh-CN"/>
        </w:rPr>
        <w:t xml:space="preserve">减少 </w:t>
      </w:r>
      <w:bookmarkEnd w:id="56"/>
      <w:r>
        <w:rPr>
          <w:rFonts w:hint="eastAsia" w:ascii="仿宋_GB2312" w:hAnsi="仿宋_GB2312" w:eastAsia="仿宋_GB2312" w:cs="仿宋_GB2312"/>
          <w:sz w:val="30"/>
          <w:szCs w:val="30"/>
          <w:lang w:val="en-US" w:eastAsia="zh-CN"/>
        </w:rPr>
        <w:t>主要原因是：</w:t>
      </w:r>
      <w:bookmarkStart w:id="57" w:name="PO_part3A4IncReason2"/>
      <w:r>
        <w:rPr>
          <w:rFonts w:hint="eastAsia" w:ascii="仿宋_GB2312" w:hAnsi="仿宋_GB2312" w:eastAsia="仿宋_GB2312" w:cs="仿宋_GB2312"/>
          <w:sz w:val="30"/>
          <w:szCs w:val="30"/>
          <w:lang w:val="en-US" w:eastAsia="zh-CN"/>
        </w:rPr>
        <w:t>人员减少，涉及的人员经费的一般公共预算拨款减少。</w:t>
      </w:r>
      <w:bookmarkEnd w:id="57"/>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2025年财政拨款支出总预算536.93万元，</w:t>
      </w:r>
      <w:bookmarkStart w:id="58" w:name="PO_part3A4IncAmount3"/>
      <w:r>
        <w:rPr>
          <w:rFonts w:hint="eastAsia" w:ascii="仿宋_GB2312" w:hAnsi="仿宋_GB2312" w:eastAsia="仿宋_GB2312" w:cs="仿宋_GB2312"/>
          <w:sz w:val="30"/>
          <w:szCs w:val="30"/>
          <w:lang w:val="en-US" w:eastAsia="zh-CN"/>
        </w:rPr>
        <w:t xml:space="preserve">比上年减少48.05万元，下降8.21%。 </w:t>
      </w:r>
      <w:bookmarkEnd w:id="58"/>
      <w:bookmarkStart w:id="59" w:name="PO_part3A4IncReason3"/>
      <w:r>
        <w:rPr>
          <w:rFonts w:hint="eastAsia" w:ascii="仿宋_GB2312" w:hAnsi="仿宋_GB2312" w:eastAsia="仿宋_GB2312" w:cs="仿宋_GB2312"/>
          <w:sz w:val="30"/>
          <w:szCs w:val="30"/>
          <w:lang w:val="en-US" w:eastAsia="zh-CN"/>
        </w:rPr>
        <w:t xml:space="preserve">支出包括：一般公共服务支出427.88万元、社会保障和就业支出62.84万元、卫生健康支出16.28万元、住房保障支出29.93万元。 </w:t>
      </w:r>
      <w:bookmarkEnd w:id="59"/>
      <w:r>
        <w:rPr>
          <w:rFonts w:hint="eastAsia" w:ascii="仿宋_GB2312" w:hAnsi="仿宋_GB2312" w:eastAsia="仿宋_GB2312" w:cs="仿宋_GB2312"/>
          <w:sz w:val="30"/>
          <w:szCs w:val="30"/>
          <w:lang w:val="en-US" w:eastAsia="zh-CN"/>
        </w:rPr>
        <w:t>财政拨款支出</w:t>
      </w:r>
      <w:bookmarkStart w:id="60" w:name="PO_part3A4IncAmount4"/>
      <w:r>
        <w:rPr>
          <w:rFonts w:hint="eastAsia" w:ascii="仿宋_GB2312" w:hAnsi="仿宋_GB2312" w:eastAsia="仿宋_GB2312" w:cs="仿宋_GB2312"/>
          <w:sz w:val="30"/>
          <w:szCs w:val="30"/>
          <w:lang w:val="en-US" w:eastAsia="zh-CN"/>
        </w:rPr>
        <w:t xml:space="preserve">减少 </w:t>
      </w:r>
      <w:bookmarkEnd w:id="60"/>
      <w:r>
        <w:rPr>
          <w:rFonts w:hint="eastAsia" w:ascii="仿宋_GB2312" w:hAnsi="仿宋_GB2312" w:eastAsia="仿宋_GB2312" w:cs="仿宋_GB2312"/>
          <w:sz w:val="30"/>
          <w:szCs w:val="30"/>
          <w:lang w:val="en-US" w:eastAsia="zh-CN"/>
        </w:rPr>
        <w:t>主要原因是：</w:t>
      </w:r>
      <w:bookmarkStart w:id="61" w:name="PO_part3A4IncReason4"/>
      <w:r>
        <w:rPr>
          <w:rFonts w:hint="eastAsia" w:ascii="仿宋_GB2312" w:hAnsi="仿宋_GB2312" w:eastAsia="仿宋_GB2312" w:cs="仿宋_GB2312"/>
          <w:sz w:val="30"/>
          <w:szCs w:val="30"/>
          <w:lang w:val="en-US" w:eastAsia="zh-CN"/>
        </w:rPr>
        <w:t>员减少，涉及的人员经费一般公共支出减少。</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黑体" w:hAnsi="黑体" w:eastAsia="黑体" w:cs="黑体"/>
          <w:sz w:val="32"/>
          <w:szCs w:val="32"/>
        </w:rPr>
      </w:pPr>
      <w:r>
        <w:rPr>
          <w:rFonts w:hint="eastAsia" w:ascii="仿宋_GB2312" w:hAnsi="仿宋_GB2312" w:eastAsia="仿宋_GB2312" w:cs="仿宋_GB2312"/>
          <w:b/>
          <w:bCs/>
          <w:sz w:val="30"/>
          <w:szCs w:val="30"/>
        </w:rPr>
        <w:t xml:space="preserve"> </w:t>
      </w:r>
      <w:bookmarkEnd w:id="61"/>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rPr>
        <w:t>一般公共预算支出情况说明</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bookmarkStart w:id="62" w:name="PO_part3A5Year1"/>
      <w:r>
        <w:rPr>
          <w:rFonts w:hint="eastAsia" w:ascii="仿宋_GB2312" w:hAnsi="仿宋_GB2312" w:eastAsia="仿宋_GB2312" w:cs="仿宋_GB2312"/>
          <w:sz w:val="30"/>
          <w:szCs w:val="30"/>
          <w:lang w:val="en-US" w:eastAsia="zh-CN"/>
        </w:rPr>
        <w:t xml:space="preserve">2025  </w:t>
      </w:r>
      <w:bookmarkEnd w:id="62"/>
      <w:r>
        <w:rPr>
          <w:rFonts w:hint="eastAsia" w:ascii="仿宋_GB2312" w:hAnsi="仿宋_GB2312" w:eastAsia="仿宋_GB2312" w:cs="仿宋_GB2312"/>
          <w:sz w:val="30"/>
          <w:szCs w:val="30"/>
          <w:lang w:val="en-US" w:eastAsia="zh-CN"/>
        </w:rPr>
        <w:t>年一般公共预算拨款支出</w:t>
      </w:r>
      <w:bookmarkStart w:id="63" w:name="PO_part3A5Amount1"/>
      <w:r>
        <w:rPr>
          <w:rFonts w:hint="eastAsia" w:ascii="仿宋_GB2312" w:hAnsi="仿宋_GB2312" w:eastAsia="仿宋_GB2312" w:cs="仿宋_GB2312"/>
          <w:sz w:val="30"/>
          <w:szCs w:val="30"/>
          <w:lang w:val="en-US" w:eastAsia="zh-CN"/>
        </w:rPr>
        <w:t xml:space="preserve">536.93 </w:t>
      </w:r>
      <w:bookmarkEnd w:id="63"/>
      <w:r>
        <w:rPr>
          <w:rFonts w:hint="eastAsia" w:ascii="仿宋_GB2312" w:hAnsi="仿宋_GB2312" w:eastAsia="仿宋_GB2312" w:cs="仿宋_GB2312"/>
          <w:sz w:val="30"/>
          <w:szCs w:val="30"/>
          <w:lang w:val="en-US" w:eastAsia="zh-CN"/>
        </w:rPr>
        <w:t>万元，</w:t>
      </w:r>
      <w:bookmarkStart w:id="64" w:name="PO_part3A5IncAmount1"/>
      <w:r>
        <w:rPr>
          <w:rFonts w:hint="eastAsia" w:ascii="仿宋_GB2312" w:hAnsi="仿宋_GB2312" w:eastAsia="仿宋_GB2312" w:cs="仿宋_GB2312"/>
          <w:sz w:val="30"/>
          <w:szCs w:val="30"/>
          <w:lang w:val="en-US" w:eastAsia="zh-CN"/>
        </w:rPr>
        <w:t xml:space="preserve">比上年减少48.05万元，下降8.21%。 </w:t>
      </w:r>
      <w:bookmarkEnd w:id="64"/>
      <w:r>
        <w:rPr>
          <w:rFonts w:hint="eastAsia" w:ascii="仿宋_GB2312" w:hAnsi="仿宋_GB2312" w:eastAsia="仿宋_GB2312" w:cs="仿宋_GB2312"/>
          <w:sz w:val="30"/>
          <w:szCs w:val="30"/>
          <w:lang w:val="en-US" w:eastAsia="zh-CN"/>
        </w:rPr>
        <w:t>其中：基本支出393.45万元，项目支出143.48万元。具体支出预算如下：</w:t>
      </w:r>
      <w:bookmarkStart w:id="65" w:name="PO_part3A5IncReason1"/>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一般公共服务支出（类）其他共产党事务支出（款）其他共产党事务支出（项）支出0.7万元，与上年持平，无增减变化。</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一般公共服务支出（类）40（款）行政运行（项）支出180.57万元，比上年增加</w:t>
      </w:r>
      <w:r>
        <w:rPr>
          <w:rFonts w:hint="eastAsia" w:ascii="仿宋_GB2312" w:hAnsi="仿宋_GB2312" w:eastAsia="仿宋_GB2312" w:cs="仿宋_GB2312"/>
          <w:sz w:val="30"/>
          <w:szCs w:val="30"/>
          <w:lang w:val="en-US" w:eastAsia="zh-CN"/>
        </w:rPr>
        <w:t xml:space="preserve"> 180.57万元，增长</w:t>
      </w:r>
      <w:r>
        <w:rPr>
          <w:rFonts w:hint="eastAsia" w:ascii="仿宋_GB2312" w:hAnsi="仿宋_GB2312" w:eastAsia="仿宋_GB2312" w:cs="仿宋_GB2312"/>
          <w:sz w:val="30"/>
          <w:szCs w:val="30"/>
          <w:lang w:val="en-US" w:eastAsia="zh-CN"/>
        </w:rPr>
        <w:t xml:space="preserve"> 100%。主要原因是：根据工作实际，一般公开服务支出的款项从3款“政府办公厅（室）及相关机构事务”变更使用第40款“信访事务”核算。</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一般公共服务支出（类）40（款）一般行政管理事务（项）支出18万元，比上年增加</w:t>
      </w:r>
      <w:r>
        <w:rPr>
          <w:rFonts w:hint="eastAsia" w:ascii="仿宋_GB2312" w:hAnsi="仿宋_GB2312" w:eastAsia="仿宋_GB2312" w:cs="仿宋_GB2312"/>
          <w:sz w:val="30"/>
          <w:szCs w:val="30"/>
          <w:lang w:val="en-US" w:eastAsia="zh-CN"/>
        </w:rPr>
        <w:t xml:space="preserve"> 18万元，增长</w:t>
      </w:r>
      <w:r>
        <w:rPr>
          <w:rFonts w:hint="eastAsia" w:ascii="仿宋_GB2312" w:hAnsi="仿宋_GB2312" w:eastAsia="仿宋_GB2312" w:cs="仿宋_GB2312"/>
          <w:sz w:val="30"/>
          <w:szCs w:val="30"/>
          <w:lang w:val="en-US" w:eastAsia="zh-CN"/>
        </w:rPr>
        <w:t xml:space="preserve"> 100%。主要原因是：根据工作实际，一般公开服务支出的款项从3款“政府办公厅（室）及相关机构事务”变更使用第40款“信访事务”核算。</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一般公共服务支出（类）40（款）信访业务（项）支出124.78万元，比上年增加</w:t>
      </w:r>
      <w:r>
        <w:rPr>
          <w:rFonts w:hint="eastAsia" w:ascii="仿宋_GB2312" w:hAnsi="仿宋_GB2312" w:eastAsia="仿宋_GB2312" w:cs="仿宋_GB2312"/>
          <w:sz w:val="30"/>
          <w:szCs w:val="30"/>
          <w:lang w:val="en-US" w:eastAsia="zh-CN"/>
        </w:rPr>
        <w:t xml:space="preserve"> 4万元，增长</w:t>
      </w:r>
      <w:r>
        <w:rPr>
          <w:rFonts w:hint="eastAsia" w:ascii="仿宋_GB2312" w:hAnsi="仿宋_GB2312" w:eastAsia="仿宋_GB2312" w:cs="仿宋_GB2312"/>
          <w:sz w:val="30"/>
          <w:szCs w:val="30"/>
          <w:lang w:val="en-US" w:eastAsia="zh-CN"/>
        </w:rPr>
        <w:t xml:space="preserve"> 3.31%。主要原因是：根据工作实际，一般公开服务支出的款项从3款“政府办公厅（室）及相关机构事务”变更使用第40款“信访事务”核算。</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社会保障和就业支出（类）行政事业单位养老支出（款）行政单位离退休（项）支出5.17万元，比上年增加</w:t>
      </w:r>
      <w:r>
        <w:rPr>
          <w:rFonts w:hint="eastAsia" w:ascii="仿宋_GB2312" w:hAnsi="仿宋_GB2312" w:eastAsia="仿宋_GB2312" w:cs="仿宋_GB2312"/>
          <w:sz w:val="30"/>
          <w:szCs w:val="30"/>
          <w:lang w:val="en-US" w:eastAsia="zh-CN"/>
        </w:rPr>
        <w:t xml:space="preserve"> 0.02万元，增长</w:t>
      </w:r>
      <w:r>
        <w:rPr>
          <w:rFonts w:hint="eastAsia" w:ascii="仿宋_GB2312" w:hAnsi="仿宋_GB2312" w:eastAsia="仿宋_GB2312" w:cs="仿宋_GB2312"/>
          <w:sz w:val="30"/>
          <w:szCs w:val="30"/>
          <w:lang w:val="en-US" w:eastAsia="zh-CN"/>
        </w:rPr>
        <w:t xml:space="preserve"> 0.39%。主要原因是：2024年底单位退休2人，退休支出增长。</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社会保障和就业支出（类）行政事业单位养老支出（款）机关事业单位基本养老保险缴费支出（项）支出37.71万元，比上年减少</w:t>
      </w:r>
      <w:r>
        <w:rPr>
          <w:rFonts w:hint="eastAsia" w:ascii="仿宋_GB2312" w:hAnsi="仿宋_GB2312" w:eastAsia="仿宋_GB2312" w:cs="仿宋_GB2312"/>
          <w:sz w:val="30"/>
          <w:szCs w:val="30"/>
          <w:lang w:val="en-US" w:eastAsia="zh-CN"/>
        </w:rPr>
        <w:t xml:space="preserve"> 15.04万元，下降</w:t>
      </w:r>
      <w:r>
        <w:rPr>
          <w:rFonts w:hint="eastAsia" w:ascii="仿宋_GB2312" w:hAnsi="仿宋_GB2312" w:eastAsia="仿宋_GB2312" w:cs="仿宋_GB2312"/>
          <w:sz w:val="30"/>
          <w:szCs w:val="30"/>
          <w:lang w:val="en-US" w:eastAsia="zh-CN"/>
        </w:rPr>
        <w:t xml:space="preserve"> 28.51%。主要原因是：人员减少和社保基数调整减少。</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社会保障和就业支出（类）行政事业单位养老支出（款）机关事业单位职业年金缴费支出（项）支出19.96万元，比上年减少</w:t>
      </w:r>
      <w:r>
        <w:rPr>
          <w:rFonts w:hint="eastAsia" w:ascii="仿宋_GB2312" w:hAnsi="仿宋_GB2312" w:eastAsia="仿宋_GB2312" w:cs="仿宋_GB2312"/>
          <w:sz w:val="30"/>
          <w:szCs w:val="30"/>
          <w:lang w:val="en-US" w:eastAsia="zh-CN"/>
        </w:rPr>
        <w:t xml:space="preserve"> 6.41万元，下降</w:t>
      </w:r>
      <w:r>
        <w:rPr>
          <w:rFonts w:hint="eastAsia" w:ascii="仿宋_GB2312" w:hAnsi="仿宋_GB2312" w:eastAsia="仿宋_GB2312" w:cs="仿宋_GB2312"/>
          <w:sz w:val="30"/>
          <w:szCs w:val="30"/>
          <w:lang w:val="en-US" w:eastAsia="zh-CN"/>
        </w:rPr>
        <w:t xml:space="preserve"> 24.31%。主要原因是：人员减少和社保基数调整减少。</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卫生健康支出（类）行政事业单位医疗（款）行政单位医疗（项）支出7.43万元，比上年减少</w:t>
      </w:r>
      <w:r>
        <w:rPr>
          <w:rFonts w:hint="eastAsia" w:ascii="仿宋_GB2312" w:hAnsi="仿宋_GB2312" w:eastAsia="仿宋_GB2312" w:cs="仿宋_GB2312"/>
          <w:sz w:val="30"/>
          <w:szCs w:val="30"/>
          <w:lang w:val="en-US" w:eastAsia="zh-CN"/>
        </w:rPr>
        <w:t xml:space="preserve"> 1.24万元，下降</w:t>
      </w:r>
      <w:r>
        <w:rPr>
          <w:rFonts w:hint="eastAsia" w:ascii="仿宋_GB2312" w:hAnsi="仿宋_GB2312" w:eastAsia="仿宋_GB2312" w:cs="仿宋_GB2312"/>
          <w:sz w:val="30"/>
          <w:szCs w:val="30"/>
          <w:lang w:val="en-US" w:eastAsia="zh-CN"/>
        </w:rPr>
        <w:t xml:space="preserve"> 14.30%。主要原因是：人员减少和医保基数调整减少。</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卫生健康支出（类）行政事业单位医疗（款）公务员医疗补助（项）支出3.99万元，比上年减少</w:t>
      </w:r>
      <w:r>
        <w:rPr>
          <w:rFonts w:hint="eastAsia" w:ascii="仿宋_GB2312" w:hAnsi="仿宋_GB2312" w:eastAsia="仿宋_GB2312" w:cs="仿宋_GB2312"/>
          <w:sz w:val="30"/>
          <w:szCs w:val="30"/>
          <w:lang w:val="en-US" w:eastAsia="zh-CN"/>
        </w:rPr>
        <w:t xml:space="preserve"> 0.65万元，下降</w:t>
      </w:r>
      <w:r>
        <w:rPr>
          <w:rFonts w:hint="eastAsia" w:ascii="仿宋_GB2312" w:hAnsi="仿宋_GB2312" w:eastAsia="仿宋_GB2312" w:cs="仿宋_GB2312"/>
          <w:sz w:val="30"/>
          <w:szCs w:val="30"/>
          <w:lang w:val="en-US" w:eastAsia="zh-CN"/>
        </w:rPr>
        <w:t xml:space="preserve"> 14.01%。主要原因是：人员减少和医保基数调整减少。</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住房保障支出（类）住房改革支出（款）住房公积金（项）支出29.94万元，比上年减少</w:t>
      </w:r>
      <w:r>
        <w:rPr>
          <w:rFonts w:hint="eastAsia" w:ascii="仿宋_GB2312" w:hAnsi="仿宋_GB2312" w:eastAsia="仿宋_GB2312" w:cs="仿宋_GB2312"/>
          <w:sz w:val="30"/>
          <w:szCs w:val="30"/>
          <w:lang w:val="en-US" w:eastAsia="zh-CN"/>
        </w:rPr>
        <w:t xml:space="preserve"> 2.01万元，下降</w:t>
      </w:r>
      <w:r>
        <w:rPr>
          <w:rFonts w:hint="eastAsia" w:ascii="仿宋_GB2312" w:hAnsi="仿宋_GB2312" w:eastAsia="仿宋_GB2312" w:cs="仿宋_GB2312"/>
          <w:sz w:val="30"/>
          <w:szCs w:val="30"/>
          <w:lang w:val="en-US" w:eastAsia="zh-CN"/>
        </w:rPr>
        <w:t xml:space="preserve"> 6.29%。主要原因是：人员减少和公积金基数调整减少。</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一般公共服务支出（类）40（款）事业运行（项）支出103.84万元，比上年增加</w:t>
      </w:r>
      <w:r>
        <w:rPr>
          <w:rFonts w:hint="eastAsia" w:ascii="仿宋_GB2312" w:hAnsi="仿宋_GB2312" w:eastAsia="仿宋_GB2312" w:cs="仿宋_GB2312"/>
          <w:sz w:val="30"/>
          <w:szCs w:val="30"/>
          <w:lang w:val="en-US" w:eastAsia="zh-CN"/>
        </w:rPr>
        <w:t xml:space="preserve"> 103.84万元，增长</w:t>
      </w:r>
      <w:r>
        <w:rPr>
          <w:rFonts w:hint="eastAsia" w:ascii="仿宋_GB2312" w:hAnsi="仿宋_GB2312" w:eastAsia="仿宋_GB2312" w:cs="仿宋_GB2312"/>
          <w:sz w:val="30"/>
          <w:szCs w:val="30"/>
          <w:lang w:val="en-US" w:eastAsia="zh-CN"/>
        </w:rPr>
        <w:t xml:space="preserve"> 100%。主要原因是：根据工作实际，群众工作服务中心一般公开服务支出的款项从3款“政府办公厅（室）及相关机构事务”变更使用第40款“信访事务”核算。</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卫生健康支出（类）行政事业单位医疗（款）事业单位医疗（项）支出4.85万元，比上年增加</w:t>
      </w:r>
      <w:r>
        <w:rPr>
          <w:rFonts w:hint="eastAsia" w:ascii="仿宋_GB2312" w:hAnsi="仿宋_GB2312" w:eastAsia="仿宋_GB2312" w:cs="仿宋_GB2312"/>
          <w:sz w:val="30"/>
          <w:szCs w:val="30"/>
          <w:lang w:val="en-US" w:eastAsia="zh-CN"/>
        </w:rPr>
        <w:t xml:space="preserve"> 0.06万元，增长</w:t>
      </w:r>
      <w:r>
        <w:rPr>
          <w:rFonts w:hint="eastAsia" w:ascii="仿宋_GB2312" w:hAnsi="仿宋_GB2312" w:eastAsia="仿宋_GB2312" w:cs="仿宋_GB2312"/>
          <w:sz w:val="30"/>
          <w:szCs w:val="30"/>
          <w:lang w:val="en-US" w:eastAsia="zh-CN"/>
        </w:rPr>
        <w:t xml:space="preserve"> 1.25%。主要原因是：群众工作服务中心医疗基数调整增加。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2"/>
          <w:szCs w:val="32"/>
        </w:rPr>
      </w:pPr>
      <w:r>
        <w:rPr>
          <w:rFonts w:hint="eastAsia" w:ascii="仿宋_GB2312" w:hAnsi="仿宋_GB2312" w:eastAsia="仿宋_GB2312" w:cs="仿宋_GB2312"/>
          <w:sz w:val="30"/>
          <w:szCs w:val="30"/>
        </w:rPr>
        <w:t xml:space="preserve"> </w:t>
      </w:r>
      <w:bookmarkEnd w:id="65"/>
      <w:r>
        <w:rPr>
          <w:rFonts w:hint="eastAsia" w:ascii="黑体" w:hAnsi="黑体" w:eastAsia="黑体" w:cs="黑体"/>
          <w:kern w:val="2"/>
          <w:sz w:val="32"/>
          <w:szCs w:val="32"/>
          <w:lang w:val="en-US" w:eastAsia="zh-CN" w:bidi="ar-SA"/>
        </w:rPr>
        <w:t>六、</w:t>
      </w:r>
      <w:r>
        <w:rPr>
          <w:rFonts w:hint="eastAsia" w:ascii="黑体" w:hAnsi="黑体" w:eastAsia="黑体" w:cs="黑体"/>
          <w:sz w:val="32"/>
          <w:szCs w:val="32"/>
        </w:rPr>
        <w:t>一般公共预算基本支出情况说明</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2025年一般公共预算基本支出</w:t>
      </w:r>
      <w:bookmarkStart w:id="66" w:name="PO_part3A6Amount1"/>
      <w:r>
        <w:rPr>
          <w:rFonts w:hint="eastAsia" w:ascii="仿宋_GB2312" w:hAnsi="仿宋_GB2312" w:eastAsia="仿宋_GB2312" w:cs="仿宋_GB2312"/>
          <w:sz w:val="30"/>
          <w:szCs w:val="30"/>
          <w:lang w:val="en-US" w:eastAsia="zh-CN"/>
        </w:rPr>
        <w:t xml:space="preserve">393.45 </w:t>
      </w:r>
      <w:bookmarkEnd w:id="66"/>
      <w:r>
        <w:rPr>
          <w:rFonts w:hint="eastAsia" w:ascii="仿宋_GB2312" w:hAnsi="仿宋_GB2312" w:eastAsia="仿宋_GB2312" w:cs="仿宋_GB2312"/>
          <w:sz w:val="30"/>
          <w:szCs w:val="30"/>
          <w:lang w:val="en-US" w:eastAsia="zh-CN"/>
        </w:rPr>
        <w:t>万元，</w:t>
      </w:r>
      <w:bookmarkStart w:id="67" w:name="PO_part3A6IncAmount1"/>
      <w:r>
        <w:rPr>
          <w:rFonts w:hint="eastAsia" w:ascii="仿宋_GB2312" w:hAnsi="仿宋_GB2312" w:eastAsia="仿宋_GB2312" w:cs="仿宋_GB2312"/>
          <w:sz w:val="30"/>
          <w:szCs w:val="30"/>
          <w:lang w:val="en-US" w:eastAsia="zh-CN"/>
        </w:rPr>
        <w:t xml:space="preserve">比上年减少51.05万元，下降11.48%。 </w:t>
      </w:r>
      <w:bookmarkEnd w:id="67"/>
      <w:r>
        <w:rPr>
          <w:rFonts w:hint="eastAsia" w:ascii="仿宋_GB2312" w:hAnsi="仿宋_GB2312" w:eastAsia="仿宋_GB2312" w:cs="仿宋_GB2312"/>
          <w:sz w:val="30"/>
          <w:szCs w:val="30"/>
          <w:lang w:val="en-US" w:eastAsia="zh-CN"/>
        </w:rPr>
        <w:t>其中：</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人员经费</w:t>
      </w:r>
      <w:bookmarkStart w:id="68" w:name="PO_part3A6Amount2"/>
      <w:r>
        <w:rPr>
          <w:rFonts w:hint="eastAsia" w:ascii="仿宋_GB2312" w:hAnsi="仿宋_GB2312" w:eastAsia="仿宋_GB2312" w:cs="仿宋_GB2312"/>
          <w:sz w:val="30"/>
          <w:szCs w:val="30"/>
          <w:lang w:val="en-US" w:eastAsia="zh-CN"/>
        </w:rPr>
        <w:t xml:space="preserve">354.39 </w:t>
      </w:r>
      <w:bookmarkEnd w:id="68"/>
      <w:r>
        <w:rPr>
          <w:rFonts w:hint="eastAsia" w:ascii="仿宋_GB2312" w:hAnsi="仿宋_GB2312" w:eastAsia="仿宋_GB2312" w:cs="仿宋_GB2312"/>
          <w:sz w:val="30"/>
          <w:szCs w:val="30"/>
          <w:lang w:val="en-US" w:eastAsia="zh-CN"/>
        </w:rPr>
        <w:t>万元，</w:t>
      </w:r>
      <w:bookmarkStart w:id="69" w:name="PO_part3A6IncAmount2"/>
      <w:r>
        <w:rPr>
          <w:rFonts w:hint="eastAsia" w:ascii="仿宋_GB2312" w:hAnsi="仿宋_GB2312" w:eastAsia="仿宋_GB2312" w:cs="仿宋_GB2312"/>
          <w:sz w:val="30"/>
          <w:szCs w:val="30"/>
          <w:lang w:val="en-US" w:eastAsia="zh-CN"/>
        </w:rPr>
        <w:t>比上年减少46.34万元，下降11.56%，</w:t>
      </w:r>
      <w:bookmarkEnd w:id="69"/>
      <w:r>
        <w:rPr>
          <w:rFonts w:hint="eastAsia" w:ascii="仿宋_GB2312" w:hAnsi="仿宋_GB2312" w:eastAsia="仿宋_GB2312" w:cs="仿宋_GB2312"/>
          <w:sz w:val="30"/>
          <w:szCs w:val="30"/>
          <w:lang w:val="en-US" w:eastAsia="zh-CN"/>
        </w:rPr>
        <w:t>主要包括：</w:t>
      </w:r>
      <w:bookmarkStart w:id="70" w:name="PO_part3A6IncReason1"/>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工资福利支出（类）基本工资（款）支出91.51万元。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工资福利支出（类）津贴补贴（款）支出47.37万元。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工资福利支出（类）奖金（款）支出37.11万元。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工资福利支出（类）绩效工资（款）支出51.02万元。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工资福利支出（类）机关事业单位基本养老保险缴费（款）支出37.71万元。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工资福利支出（类）职业年金缴费（款）支出19.96万元。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工资福利支出（类）职工基本医疗保险缴费（款）支出12.04万元。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工资福利支出（类）公务员医疗补助缴费（款）支出3.99万元。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工资福利支出（类）其他社会保障缴费（款）支出0.77万元。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工资福利支出（类）住房公积金（款）支出29.93万元。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工资福利支出（类）其他工资福利支出（款）支出17.88万元。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对个人和家庭的补助（类）退休费（款）支出4.22万元。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对个人和家庭的补助（类）医疗费补助（款）支出0.88万元。</w:t>
      </w:r>
      <w:bookmarkEnd w:id="70"/>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公用经费39.06万元，</w:t>
      </w:r>
      <w:bookmarkStart w:id="71" w:name="PO_part3A6IncAmount3"/>
      <w:r>
        <w:rPr>
          <w:rFonts w:hint="eastAsia" w:ascii="仿宋_GB2312" w:hAnsi="仿宋_GB2312" w:eastAsia="仿宋_GB2312" w:cs="仿宋_GB2312"/>
          <w:sz w:val="30"/>
          <w:szCs w:val="30"/>
          <w:lang w:val="en-US" w:eastAsia="zh-CN"/>
        </w:rPr>
        <w:t xml:space="preserve">比上年减少4.71万元，下降10.76%， </w:t>
      </w:r>
      <w:bookmarkEnd w:id="71"/>
      <w:r>
        <w:rPr>
          <w:rFonts w:hint="eastAsia" w:ascii="仿宋_GB2312" w:hAnsi="仿宋_GB2312" w:eastAsia="仿宋_GB2312" w:cs="仿宋_GB2312"/>
          <w:sz w:val="30"/>
          <w:szCs w:val="30"/>
          <w:lang w:val="en-US" w:eastAsia="zh-CN"/>
        </w:rPr>
        <w:t>主要包括：</w:t>
      </w:r>
      <w:bookmarkStart w:id="72" w:name="PO_part3A6IncReason2"/>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商品和服务支出（类）办公费（款）支出3.42万元。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商品和服务支出（类）印刷费（款）支出1.5万元。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商品和服务支出（类）邮电费（款）支出4.16万元。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商品和服务支出（类）差旅费（款）支出2.13万元。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商品和服务支出（类）会议费（款）支出0.5万元。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商品和服务支出（类）公务接待费（款）支出0.16万元。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商品和服务支出（类）劳务费（款）支出4.57万元。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商品和服务支出（类）福利费（款）支出1.48万元。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商品和服务支出（类）其他交通费用（款）支出13.08万元。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商品和服务支出（类）其他商品和服务支出（款）支出8.06万元。</w:t>
      </w:r>
    </w:p>
    <w:bookmarkEnd w:id="72"/>
    <w:p>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rPr>
        <w:t>一般公共预算“三公”经费安排情况说明</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我部门</w:t>
      </w:r>
      <w:r>
        <w:rPr>
          <w:rFonts w:hint="eastAsia" w:ascii="仿宋_GB2312" w:hAnsi="仿宋_GB2312" w:eastAsia="仿宋_GB2312" w:cs="仿宋_GB2312"/>
          <w:sz w:val="30"/>
          <w:szCs w:val="30"/>
          <w:lang w:val="en-US" w:eastAsia="zh-CN"/>
        </w:rPr>
        <w:t>2025年一般公共预算安排的“三公”经费支出预算0.16万元，同口径比2024</w:t>
      </w:r>
      <w:r>
        <w:rPr>
          <w:rFonts w:hint="eastAsia" w:ascii="仿宋_GB2312" w:hAnsi="仿宋_GB2312" w:eastAsia="仿宋_GB2312" w:cs="仿宋_GB2312"/>
          <w:sz w:val="30"/>
          <w:szCs w:val="30"/>
          <w:lang w:val="en-US" w:eastAsia="zh-CN"/>
        </w:rPr>
        <w:t>年预算</w:t>
      </w:r>
      <w:bookmarkStart w:id="73" w:name="PO_part3A7Amount9"/>
      <w:r>
        <w:rPr>
          <w:rFonts w:hint="eastAsia" w:ascii="仿宋_GB2312" w:hAnsi="仿宋_GB2312" w:eastAsia="仿宋_GB2312" w:cs="仿宋_GB2312"/>
          <w:sz w:val="30"/>
          <w:szCs w:val="30"/>
          <w:lang w:val="en-US" w:eastAsia="zh-CN"/>
        </w:rPr>
        <w:t xml:space="preserve">0.19 </w:t>
      </w:r>
      <w:bookmarkEnd w:id="73"/>
      <w:r>
        <w:rPr>
          <w:rFonts w:hint="eastAsia" w:ascii="仿宋_GB2312" w:hAnsi="仿宋_GB2312" w:eastAsia="仿宋_GB2312" w:cs="仿宋_GB2312"/>
          <w:sz w:val="30"/>
          <w:szCs w:val="30"/>
          <w:lang w:val="en-US" w:eastAsia="zh-CN"/>
        </w:rPr>
        <w:t>万元，减少0.03万元，下降15.79%</w:t>
      </w:r>
      <w:bookmarkStart w:id="74" w:name="PO_part3A7IncAmount1"/>
      <w:r>
        <w:rPr>
          <w:rFonts w:hint="eastAsia" w:ascii="仿宋_GB2312" w:hAnsi="仿宋_GB2312" w:eastAsia="仿宋_GB2312" w:cs="仿宋_GB2312"/>
          <w:sz w:val="30"/>
          <w:szCs w:val="30"/>
          <w:lang w:val="en-US" w:eastAsia="zh-CN"/>
        </w:rPr>
        <w:t xml:space="preserve">。 </w:t>
      </w:r>
      <w:bookmarkEnd w:id="74"/>
      <w:r>
        <w:rPr>
          <w:rFonts w:hint="eastAsia" w:ascii="仿宋_GB2312" w:hAnsi="仿宋_GB2312" w:eastAsia="仿宋_GB2312" w:cs="仿宋_GB2312"/>
          <w:sz w:val="30"/>
          <w:szCs w:val="30"/>
          <w:lang w:val="en-US" w:eastAsia="zh-CN"/>
        </w:rPr>
        <w:t>其中：</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1.因公出国（境）经费预算</w:t>
      </w:r>
      <w:bookmarkStart w:id="75" w:name="PO_part3A7Amount10"/>
      <w:r>
        <w:rPr>
          <w:rFonts w:hint="eastAsia" w:ascii="仿宋_GB2312" w:hAnsi="仿宋_GB2312" w:eastAsia="仿宋_GB2312" w:cs="仿宋_GB2312"/>
          <w:sz w:val="30"/>
          <w:szCs w:val="30"/>
          <w:lang w:val="en-US" w:eastAsia="zh-CN"/>
        </w:rPr>
        <w:t xml:space="preserve">0 </w:t>
      </w:r>
      <w:bookmarkEnd w:id="75"/>
      <w:r>
        <w:rPr>
          <w:rFonts w:hint="eastAsia" w:ascii="仿宋_GB2312" w:hAnsi="仿宋_GB2312" w:eastAsia="仿宋_GB2312" w:cs="仿宋_GB2312"/>
          <w:sz w:val="30"/>
          <w:szCs w:val="30"/>
          <w:lang w:val="en-US" w:eastAsia="zh-CN"/>
        </w:rPr>
        <w:t xml:space="preserve">万元，与上年持平，无增减变化。 </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2.公务接待费预算</w:t>
      </w:r>
      <w:bookmarkStart w:id="76" w:name="PO_part3A7Amount11"/>
      <w:r>
        <w:rPr>
          <w:rFonts w:hint="eastAsia" w:ascii="仿宋_GB2312" w:hAnsi="仿宋_GB2312" w:eastAsia="仿宋_GB2312" w:cs="仿宋_GB2312"/>
          <w:sz w:val="30"/>
          <w:szCs w:val="30"/>
          <w:lang w:val="en-US" w:eastAsia="zh-CN"/>
        </w:rPr>
        <w:t>0.16</w:t>
      </w:r>
      <w:bookmarkEnd w:id="76"/>
      <w:r>
        <w:rPr>
          <w:rFonts w:hint="eastAsia" w:ascii="仿宋_GB2312" w:hAnsi="仿宋_GB2312" w:eastAsia="仿宋_GB2312" w:cs="仿宋_GB2312"/>
          <w:sz w:val="30"/>
          <w:szCs w:val="30"/>
          <w:lang w:val="en-US" w:eastAsia="zh-CN"/>
        </w:rPr>
        <w:t>万元，</w:t>
      </w:r>
      <w:bookmarkStart w:id="77" w:name="PO_part3A7IncAmount3"/>
      <w:r>
        <w:rPr>
          <w:rFonts w:hint="eastAsia" w:ascii="仿宋_GB2312" w:hAnsi="仿宋_GB2312" w:eastAsia="仿宋_GB2312" w:cs="仿宋_GB2312"/>
          <w:sz w:val="30"/>
          <w:szCs w:val="30"/>
          <w:lang w:val="en-US" w:eastAsia="zh-CN"/>
        </w:rPr>
        <w:t xml:space="preserve">比上年减少0.03万元，下降15.79%， </w:t>
      </w:r>
      <w:bookmarkEnd w:id="77"/>
      <w:r>
        <w:rPr>
          <w:rFonts w:hint="eastAsia" w:ascii="仿宋_GB2312" w:hAnsi="仿宋_GB2312" w:eastAsia="仿宋_GB2312" w:cs="仿宋_GB2312"/>
          <w:sz w:val="30"/>
          <w:szCs w:val="30"/>
          <w:lang w:val="en-US" w:eastAsia="zh-CN"/>
        </w:rPr>
        <w:t>主要原因是：</w:t>
      </w:r>
      <w:bookmarkStart w:id="78" w:name="PO_part3A7IncReason3"/>
      <w:r>
        <w:rPr>
          <w:rFonts w:hint="eastAsia" w:ascii="仿宋_GB2312" w:hAnsi="仿宋_GB2312" w:eastAsia="仿宋_GB2312" w:cs="仿宋_GB2312"/>
          <w:sz w:val="30"/>
          <w:szCs w:val="30"/>
          <w:lang w:val="en-US" w:eastAsia="zh-CN"/>
        </w:rPr>
        <w:t xml:space="preserve">根据单位实际情况，人员减少压减三公经费。 </w:t>
      </w:r>
      <w:bookmarkEnd w:id="78"/>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公务接待费主要用于：</w:t>
      </w:r>
      <w:bookmarkStart w:id="79" w:name="PO_part3A7IncReason4"/>
      <w:r>
        <w:rPr>
          <w:rFonts w:hint="eastAsia" w:ascii="仿宋_GB2312" w:hAnsi="仿宋_GB2312" w:eastAsia="仿宋_GB2312" w:cs="仿宋_GB2312"/>
          <w:sz w:val="30"/>
          <w:szCs w:val="30"/>
          <w:lang w:val="en-US" w:eastAsia="zh-CN"/>
        </w:rPr>
        <w:t xml:space="preserve">到我单位开展公务活动的接待费用。 </w:t>
      </w:r>
      <w:bookmarkEnd w:id="79"/>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3.公务用车购置及运行</w:t>
      </w:r>
      <w:r>
        <w:rPr>
          <w:rFonts w:hint="eastAsia" w:ascii="仿宋_GB2312" w:hAnsi="仿宋_GB2312" w:eastAsia="仿宋_GB2312" w:cs="仿宋_GB2312"/>
          <w:sz w:val="30"/>
          <w:szCs w:val="30"/>
          <w:lang w:val="en-US" w:eastAsia="zh-CN"/>
        </w:rPr>
        <w:t>维护费预算</w:t>
      </w:r>
      <w:bookmarkStart w:id="80" w:name="PO_part3A7Amount12"/>
      <w:r>
        <w:rPr>
          <w:rFonts w:hint="eastAsia" w:ascii="仿宋_GB2312" w:hAnsi="仿宋_GB2312" w:eastAsia="仿宋_GB2312" w:cs="仿宋_GB2312"/>
          <w:sz w:val="30"/>
          <w:szCs w:val="30"/>
          <w:lang w:val="en-US" w:eastAsia="zh-CN"/>
        </w:rPr>
        <w:t xml:space="preserve">0 </w:t>
      </w:r>
      <w:bookmarkEnd w:id="80"/>
      <w:r>
        <w:rPr>
          <w:rFonts w:hint="eastAsia" w:ascii="仿宋_GB2312" w:hAnsi="仿宋_GB2312" w:eastAsia="仿宋_GB2312" w:cs="仿宋_GB2312"/>
          <w:sz w:val="30"/>
          <w:szCs w:val="30"/>
          <w:lang w:val="en-US" w:eastAsia="zh-CN"/>
        </w:rPr>
        <w:t>万元，与上年持平，无增减变化，其中：</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公务用车购置费预算0万元，与上年持平，无增减变化。</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公务用车运行</w:t>
      </w:r>
      <w:r>
        <w:rPr>
          <w:rFonts w:hint="eastAsia" w:ascii="仿宋_GB2312" w:hAnsi="仿宋_GB2312" w:eastAsia="仿宋_GB2312" w:cs="仿宋_GB2312"/>
          <w:sz w:val="30"/>
          <w:szCs w:val="30"/>
          <w:lang w:val="en-US" w:eastAsia="zh-CN"/>
        </w:rPr>
        <w:t>维护费预算0万元，与上年持平，无增减变化。</w:t>
      </w:r>
      <w:bookmarkStart w:id="81" w:name="PO_part3A7IncReason7"/>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End w:id="81"/>
    </w:p>
    <w:p>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rPr>
        <w:t>政府性基金预算支出情况说明</w:t>
      </w:r>
    </w:p>
    <w:p>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百色市信访局 2025年度</w:t>
      </w:r>
      <w:r>
        <w:rPr>
          <w:rFonts w:hint="eastAsia" w:ascii="仿宋_GB2312" w:hAnsi="仿宋_GB2312" w:eastAsia="仿宋_GB2312" w:cs="仿宋_GB2312"/>
          <w:sz w:val="30"/>
          <w:szCs w:val="30"/>
          <w:lang w:val="en-US" w:eastAsia="zh-CN"/>
        </w:rPr>
        <w:t>没有政府性基金预算，故无数据情况说明</w:t>
      </w:r>
      <w:r>
        <w:rPr>
          <w:rFonts w:hint="eastAsia" w:ascii="仿宋_GB2312" w:hAnsi="仿宋_GB2312" w:eastAsia="仿宋_GB2312" w:cs="仿宋_GB2312"/>
          <w:sz w:val="30"/>
          <w:szCs w:val="30"/>
        </w:rPr>
        <w:t xml:space="preserve">。 </w:t>
      </w:r>
    </w:p>
    <w:p>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rPr>
        <w:t>国有资本经营预算支出情况说明</w:t>
      </w:r>
    </w:p>
    <w:p>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百色市信访局 2025年度</w:t>
      </w:r>
      <w:r>
        <w:rPr>
          <w:rFonts w:hint="eastAsia" w:ascii="仿宋_GB2312" w:hAnsi="仿宋_GB2312" w:eastAsia="仿宋_GB2312" w:cs="仿宋_GB2312"/>
          <w:sz w:val="30"/>
          <w:szCs w:val="30"/>
          <w:lang w:val="en-US" w:eastAsia="zh-CN"/>
        </w:rPr>
        <w:t xml:space="preserve">没有国有资本经营预算，故无数据情况说明。 </w:t>
      </w:r>
    </w:p>
    <w:p>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十、</w:t>
      </w:r>
      <w:r>
        <w:rPr>
          <w:rFonts w:hint="eastAsia" w:ascii="黑体" w:hAnsi="黑体" w:eastAsia="黑体" w:cs="黑体"/>
          <w:sz w:val="32"/>
          <w:szCs w:val="32"/>
        </w:rPr>
        <w:t>其他重要事项说明</w:t>
      </w:r>
    </w:p>
    <w:p>
      <w:pPr>
        <w:ind w:left="630"/>
        <w:outlineLvl w:val="2"/>
        <w:rPr>
          <w:rFonts w:hint="eastAsia" w:ascii="黑体" w:hAnsi="黑体" w:eastAsia="黑体" w:cs="黑体"/>
          <w:sz w:val="32"/>
          <w:szCs w:val="32"/>
        </w:rPr>
      </w:pPr>
      <w:r>
        <w:rPr>
          <w:rFonts w:hint="eastAsia" w:ascii="黑体" w:hAnsi="黑体" w:eastAsia="黑体" w:cs="黑体"/>
          <w:sz w:val="32"/>
          <w:szCs w:val="32"/>
        </w:rPr>
        <w:t>（一）机关运行经费安排情况</w:t>
      </w:r>
    </w:p>
    <w:p>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机关运行经费指用于保障行政（含参照公务员法管理的事业单位）单位机关运行的经费。具体包括：办公费、印刷费、水费、电费、邮电费、物业管理费、差旅费、维修（护）费、租赁费、会议费、培训费、公务接待费、专用材料费、被装购置费、福利费、公务用车运行维护费、医疗费补助、办公设备购置、专用设备购置、信息网络及软件购置更新、公务用车购置、其他交通工具购置经济科目对应的预算资金。</w:t>
      </w:r>
      <w:bookmarkStart w:id="82" w:name="PO_part3A10Year1"/>
    </w:p>
    <w:p>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2025</w:t>
      </w:r>
      <w:bookmarkEnd w:id="82"/>
      <w:r>
        <w:rPr>
          <w:rFonts w:hint="eastAsia" w:ascii="仿宋_GB2312" w:hAnsi="仿宋_GB2312" w:eastAsia="仿宋_GB2312" w:cs="仿宋_GB2312"/>
          <w:sz w:val="30"/>
          <w:szCs w:val="30"/>
          <w:lang w:val="en-US" w:eastAsia="zh-CN"/>
        </w:rPr>
        <w:t>年，本部门机关运行经费安排28.06万元，</w:t>
      </w:r>
      <w:bookmarkStart w:id="83" w:name="PO_part3A10IncAmount1"/>
      <w:r>
        <w:rPr>
          <w:rFonts w:hint="eastAsia" w:ascii="仿宋_GB2312" w:hAnsi="仿宋_GB2312" w:eastAsia="仿宋_GB2312" w:cs="仿宋_GB2312"/>
          <w:sz w:val="30"/>
          <w:szCs w:val="30"/>
          <w:lang w:val="en-US" w:eastAsia="zh-CN"/>
        </w:rPr>
        <w:t xml:space="preserve">比上年减少4.71万元，下降14.37%， </w:t>
      </w:r>
      <w:bookmarkEnd w:id="83"/>
      <w:r>
        <w:rPr>
          <w:rFonts w:hint="eastAsia" w:ascii="仿宋_GB2312" w:hAnsi="仿宋_GB2312" w:eastAsia="仿宋_GB2312" w:cs="仿宋_GB2312"/>
          <w:sz w:val="30"/>
          <w:szCs w:val="30"/>
          <w:lang w:val="en-US" w:eastAsia="zh-CN"/>
        </w:rPr>
        <w:t>主要原因是：</w:t>
      </w:r>
      <w:bookmarkStart w:id="84" w:name="PO_part3A10IncReason1"/>
      <w:r>
        <w:rPr>
          <w:rFonts w:hint="eastAsia" w:ascii="仿宋_GB2312" w:hAnsi="仿宋_GB2312" w:eastAsia="仿宋_GB2312" w:cs="仿宋_GB2312"/>
          <w:sz w:val="30"/>
          <w:szCs w:val="30"/>
          <w:lang w:val="en-US" w:eastAsia="zh-CN"/>
        </w:rPr>
        <w:t>人员调整，定额公用经费减少。</w:t>
      </w:r>
      <w:bookmarkEnd w:id="84"/>
    </w:p>
    <w:p>
      <w:pPr>
        <w:ind w:left="630"/>
        <w:outlineLvl w:val="2"/>
        <w:rPr>
          <w:rFonts w:hint="eastAsia" w:ascii="黑体" w:hAnsi="黑体" w:eastAsia="黑体" w:cs="黑体"/>
          <w:sz w:val="32"/>
          <w:szCs w:val="32"/>
        </w:rPr>
      </w:pPr>
      <w:r>
        <w:rPr>
          <w:rFonts w:hint="eastAsia" w:ascii="黑体" w:hAnsi="黑体" w:eastAsia="黑体" w:cs="黑体"/>
          <w:sz w:val="32"/>
          <w:szCs w:val="32"/>
        </w:rPr>
        <w:t>（二）政府采购情况</w:t>
      </w:r>
    </w:p>
    <w:p>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lang w:val="en-US" w:eastAsia="zh-CN"/>
        </w:rPr>
      </w:pPr>
      <w:bookmarkStart w:id="85" w:name="PO_part3A10Year2"/>
      <w:r>
        <w:rPr>
          <w:rFonts w:hint="eastAsia" w:ascii="仿宋_GB2312" w:hAnsi="仿宋_GB2312" w:eastAsia="仿宋_GB2312" w:cs="仿宋_GB2312"/>
          <w:sz w:val="30"/>
          <w:szCs w:val="30"/>
          <w:lang w:val="en-US" w:eastAsia="zh-CN"/>
        </w:rPr>
        <w:t xml:space="preserve">2025 </w:t>
      </w:r>
      <w:bookmarkEnd w:id="85"/>
      <w:r>
        <w:rPr>
          <w:rFonts w:hint="eastAsia" w:ascii="仿宋_GB2312" w:hAnsi="仿宋_GB2312" w:eastAsia="仿宋_GB2312" w:cs="仿宋_GB2312"/>
          <w:sz w:val="30"/>
          <w:szCs w:val="30"/>
          <w:lang w:val="en-US" w:eastAsia="zh-CN"/>
        </w:rPr>
        <w:t>年本部门政府采购安排12.81万元，</w:t>
      </w:r>
      <w:bookmarkStart w:id="86" w:name="PO_part3A10IncAmount2"/>
      <w:r>
        <w:rPr>
          <w:rFonts w:hint="eastAsia" w:ascii="仿宋_GB2312" w:hAnsi="仿宋_GB2312" w:eastAsia="仿宋_GB2312" w:cs="仿宋_GB2312"/>
          <w:sz w:val="30"/>
          <w:szCs w:val="30"/>
          <w:lang w:val="en-US" w:eastAsia="zh-CN"/>
        </w:rPr>
        <w:t xml:space="preserve">比上年减少4.07万元，下降24.11%。 </w:t>
      </w:r>
      <w:bookmarkEnd w:id="86"/>
      <w:r>
        <w:rPr>
          <w:rFonts w:hint="eastAsia" w:ascii="仿宋_GB2312" w:hAnsi="仿宋_GB2312" w:eastAsia="仿宋_GB2312" w:cs="仿宋_GB2312"/>
          <w:sz w:val="30"/>
          <w:szCs w:val="30"/>
          <w:lang w:val="en-US" w:eastAsia="zh-CN"/>
        </w:rPr>
        <w:t>其中：政府集中采购预算12.81万元，分散采购预算</w:t>
      </w:r>
      <w:r>
        <w:rPr>
          <w:rFonts w:hint="eastAsia" w:ascii="仿宋_GB2312" w:hAnsi="仿宋_GB2312" w:eastAsia="仿宋_GB2312" w:cs="仿宋_GB2312"/>
          <w:sz w:val="30"/>
          <w:szCs w:val="30"/>
          <w:lang w:val="en-US" w:eastAsia="zh-CN"/>
        </w:rPr>
        <w:t>0.00万元</w:t>
      </w:r>
      <w:bookmarkStart w:id="87" w:name="PO_part3A10IncAmount4"/>
      <w:r>
        <w:rPr>
          <w:rFonts w:hint="eastAsia" w:ascii="仿宋_GB2312" w:hAnsi="仿宋_GB2312" w:eastAsia="仿宋_GB2312" w:cs="仿宋_GB2312"/>
          <w:sz w:val="30"/>
          <w:szCs w:val="30"/>
          <w:lang w:val="en-US" w:eastAsia="zh-CN"/>
        </w:rPr>
        <w:t xml:space="preserve">。 </w:t>
      </w:r>
      <w:bookmarkEnd w:id="87"/>
    </w:p>
    <w:p>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按政府采购项目类型分为货物类采购、工程类采购和服务类采购三种类型。其中：货物类采购预算0.81万元，工程类采购预算</w:t>
      </w:r>
      <w:r>
        <w:rPr>
          <w:rFonts w:hint="eastAsia" w:ascii="仿宋_GB2312" w:hAnsi="仿宋_GB2312" w:eastAsia="仿宋_GB2312" w:cs="仿宋_GB2312"/>
          <w:sz w:val="30"/>
          <w:szCs w:val="30"/>
          <w:lang w:val="en-US" w:eastAsia="zh-CN"/>
        </w:rPr>
        <w:t>0.00万元，服务类采购预算12万元等。</w:t>
      </w:r>
    </w:p>
    <w:p>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服务类采购包括物业管理服务和印刷服务等。</w:t>
      </w:r>
    </w:p>
    <w:p>
      <w:pPr>
        <w:ind w:left="630"/>
        <w:outlineLvl w:val="2"/>
        <w:rPr>
          <w:rFonts w:hint="eastAsia" w:ascii="黑体" w:hAnsi="黑体" w:eastAsia="黑体" w:cs="黑体"/>
          <w:sz w:val="32"/>
          <w:szCs w:val="32"/>
          <w:lang w:eastAsia="zh-CN"/>
        </w:rPr>
      </w:pPr>
      <w:r>
        <w:rPr>
          <w:rFonts w:hint="eastAsia" w:ascii="黑体" w:hAnsi="黑体" w:eastAsia="黑体" w:cs="黑体"/>
          <w:sz w:val="32"/>
          <w:szCs w:val="32"/>
        </w:rPr>
        <w:t>（三）国有资产占有使用情况</w:t>
      </w:r>
    </w:p>
    <w:p>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截至2024年12月31日，我部门实有在编车辆0辆，其中：一般公务用车0.00辆，执法执勤用车0.00辆，其他业务用车0.00辆。车辆具体占用情况如下：</w:t>
      </w:r>
    </w:p>
    <w:p>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百色市信访局单位0辆，包括辆一般公务用车，辆执法执勤用车，辆其他业务用车。</w:t>
      </w:r>
    </w:p>
    <w:p>
      <w:pPr>
        <w:numPr>
          <w:ilvl w:val="0"/>
          <w:numId w:val="0"/>
        </w:numPr>
        <w:ind w:left="630" w:leftChars="0"/>
        <w:outlineLvl w:val="2"/>
        <w:rPr>
          <w:rFonts w:ascii="仿宋_GB2312" w:hAnsi="仿宋_GB2312" w:eastAsia="仿宋_GB2312" w:cs="仿宋_GB2312"/>
          <w:sz w:val="32"/>
          <w:szCs w:val="32"/>
        </w:rPr>
      </w:pPr>
      <w:r>
        <w:rPr>
          <w:rFonts w:hint="eastAsia" w:ascii="黑体" w:hAnsi="黑体" w:eastAsia="黑体" w:cs="黑体"/>
          <w:sz w:val="32"/>
          <w:szCs w:val="32"/>
        </w:rPr>
        <w:t>（</w:t>
      </w:r>
      <w:r>
        <w:rPr>
          <w:rFonts w:hint="eastAsia" w:ascii="黑体" w:hAnsi="黑体" w:eastAsia="黑体" w:cs="黑体"/>
          <w:sz w:val="32"/>
          <w:szCs w:val="32"/>
          <w:lang w:val="en-US" w:eastAsia="zh-CN"/>
        </w:rPr>
        <w:t>四</w:t>
      </w:r>
      <w:r>
        <w:rPr>
          <w:rFonts w:hint="eastAsia" w:ascii="黑体" w:hAnsi="黑体" w:eastAsia="黑体" w:cs="黑体"/>
          <w:sz w:val="32"/>
          <w:szCs w:val="32"/>
        </w:rPr>
        <w:t>）预算绩效目标等情况说明</w:t>
      </w:r>
      <w:bookmarkStart w:id="88" w:name="PO_part3A10IncReason2"/>
      <w:r>
        <w:rPr>
          <w:rFonts w:hint="eastAsia" w:ascii="仿宋_GB2312" w:hAnsi="仿宋_GB2312" w:eastAsia="仿宋_GB2312" w:cs="仿宋_GB2312"/>
          <w:sz w:val="32"/>
          <w:szCs w:val="32"/>
        </w:rPr>
        <w:t xml:space="preserve"> </w:t>
      </w:r>
      <w:bookmarkEnd w:id="88"/>
    </w:p>
    <w:p>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lang w:val="en-US" w:eastAsia="zh-CN"/>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0"/>
          <w:szCs w:val="30"/>
          <w:lang w:val="en-US" w:eastAsia="zh-CN"/>
        </w:rPr>
        <w:t>1.我部门</w:t>
      </w:r>
      <w:r>
        <w:rPr>
          <w:rFonts w:hint="eastAsia" w:ascii="仿宋_GB2312" w:hAnsi="仿宋_GB2312" w:eastAsia="仿宋_GB2312" w:cs="仿宋_GB2312"/>
          <w:sz w:val="30"/>
          <w:szCs w:val="30"/>
          <w:lang w:val="en-US" w:eastAsia="zh-CN"/>
        </w:rPr>
        <w:t>2025年所有项目支出全面实施绩效目标管理，涉及市本级项目5个，预算资金143.48万元。绩效目标情况详见报表10。</w:t>
      </w:r>
    </w:p>
    <w:tbl>
      <w:tblPr>
        <w:tblW w:w="130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00"/>
        <w:gridCol w:w="735"/>
        <w:gridCol w:w="1253"/>
        <w:gridCol w:w="743"/>
        <w:gridCol w:w="735"/>
        <w:gridCol w:w="1449"/>
        <w:gridCol w:w="1622"/>
        <w:gridCol w:w="1017"/>
        <w:gridCol w:w="787"/>
        <w:gridCol w:w="1046"/>
        <w:gridCol w:w="614"/>
        <w:gridCol w:w="1089"/>
        <w:gridCol w:w="556"/>
        <w:gridCol w:w="562"/>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trPr>
        <w:tc>
          <w:tcPr>
            <w:tcW w:w="405" w:type="dxa"/>
            <w:tcBorders>
              <w:top w:val="nil"/>
              <w:left w:val="nil"/>
              <w:bottom w:val="nil"/>
              <w:right w:val="nil"/>
            </w:tcBorders>
            <w:shd w:val="clear"/>
            <w:noWrap/>
            <w:vAlign w:val="bottom"/>
          </w:tcPr>
          <w:p>
            <w:pPr>
              <w:rPr>
                <w:rFonts w:hint="eastAsia" w:ascii="Arial" w:hAnsi="Arial" w:cs="Arial"/>
                <w:i w:val="0"/>
                <w:iCs w:val="0"/>
                <w:color w:val="000000"/>
                <w:sz w:val="20"/>
                <w:szCs w:val="20"/>
                <w:u w:val="none"/>
              </w:rPr>
            </w:pPr>
          </w:p>
        </w:tc>
        <w:tc>
          <w:tcPr>
            <w:tcW w:w="420"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705"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765"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675"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500"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680"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050"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810"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080"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630"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125"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570" w:type="dxa"/>
            <w:tcBorders>
              <w:top w:val="nil"/>
              <w:left w:val="nil"/>
              <w:bottom w:val="nil"/>
              <w:right w:val="nil"/>
            </w:tcBorders>
            <w:shd w:val="clear"/>
            <w:noWrap/>
            <w:vAlign w:val="bottom"/>
          </w:tcPr>
          <w:p>
            <w:pPr>
              <w:rPr>
                <w:rFonts w:hint="default" w:ascii="Arial" w:hAnsi="Arial" w:cs="Arial"/>
                <w:i w:val="0"/>
                <w:iCs w:val="0"/>
                <w:color w:val="000000"/>
                <w:sz w:val="20"/>
                <w:szCs w:val="20"/>
                <w:u w:val="none"/>
              </w:rPr>
            </w:pPr>
          </w:p>
        </w:tc>
        <w:tc>
          <w:tcPr>
            <w:tcW w:w="1635" w:type="dxa"/>
            <w:gridSpan w:val="2"/>
            <w:tcBorders>
              <w:top w:val="nil"/>
              <w:left w:val="nil"/>
              <w:bottom w:val="nil"/>
              <w:right w:val="nil"/>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预算公开10表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0" w:type="auto"/>
            <w:gridSpan w:val="15"/>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项目绩效目标公开表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tcBorders>
              <w:top w:val="nil"/>
              <w:left w:val="nil"/>
              <w:bottom w:val="nil"/>
              <w:right w:val="nil"/>
            </w:tcBorders>
            <w:shd w:val="clear"/>
            <w:noWrap/>
            <w:vAlign w:val="bottom"/>
          </w:tcPr>
          <w:p>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noWrap/>
            <w:vAlign w:val="bottom"/>
          </w:tcPr>
          <w:p>
            <w:pPr>
              <w:rPr>
                <w:rFonts w:hint="eastAsia" w:ascii="等线" w:hAnsi="等线" w:eastAsia="等线" w:cs="等线"/>
                <w:i w:val="0"/>
                <w:iCs w:val="0"/>
                <w:color w:val="000000"/>
                <w:sz w:val="22"/>
                <w:szCs w:val="22"/>
                <w:u w:val="none"/>
              </w:rPr>
            </w:pPr>
          </w:p>
        </w:tc>
        <w:tc>
          <w:tcPr>
            <w:tcW w:w="0" w:type="auto"/>
            <w:tcBorders>
              <w:top w:val="nil"/>
              <w:left w:val="nil"/>
              <w:bottom w:val="nil"/>
              <w:right w:val="nil"/>
            </w:tcBorders>
            <w:shd w:val="clear"/>
            <w:noWrap/>
            <w:vAlign w:val="bottom"/>
          </w:tcPr>
          <w:p>
            <w:pPr>
              <w:rPr>
                <w:rFonts w:hint="eastAsia" w:ascii="等线" w:hAnsi="等线" w:eastAsia="等线" w:cs="等线"/>
                <w:i w:val="0"/>
                <w:iCs w:val="0"/>
                <w:color w:val="000000"/>
                <w:sz w:val="22"/>
                <w:szCs w:val="22"/>
                <w:u w:val="none"/>
              </w:rPr>
            </w:pPr>
          </w:p>
        </w:tc>
        <w:tc>
          <w:tcPr>
            <w:tcW w:w="0" w:type="auto"/>
            <w:tcBorders>
              <w:top w:val="nil"/>
              <w:left w:val="nil"/>
              <w:bottom w:val="nil"/>
              <w:right w:val="nil"/>
            </w:tcBorders>
            <w:shd w:val="clear"/>
            <w:noWrap/>
            <w:vAlign w:val="bottom"/>
          </w:tcPr>
          <w:p>
            <w:pPr>
              <w:rPr>
                <w:rFonts w:hint="eastAsia" w:ascii="等线" w:hAnsi="等线" w:eastAsia="等线" w:cs="等线"/>
                <w:i w:val="0"/>
                <w:iCs w:val="0"/>
                <w:color w:val="000000"/>
                <w:sz w:val="22"/>
                <w:szCs w:val="22"/>
                <w:u w:val="none"/>
              </w:rPr>
            </w:pPr>
          </w:p>
        </w:tc>
        <w:tc>
          <w:tcPr>
            <w:tcW w:w="0" w:type="auto"/>
            <w:tcBorders>
              <w:top w:val="nil"/>
              <w:left w:val="nil"/>
              <w:bottom w:val="nil"/>
              <w:right w:val="nil"/>
            </w:tcBorders>
            <w:shd w:val="clear"/>
            <w:noWrap/>
            <w:vAlign w:val="bottom"/>
          </w:tcPr>
          <w:p>
            <w:pPr>
              <w:rPr>
                <w:rFonts w:hint="eastAsia" w:ascii="等线" w:hAnsi="等线" w:eastAsia="等线" w:cs="等线"/>
                <w:i w:val="0"/>
                <w:iCs w:val="0"/>
                <w:color w:val="000000"/>
                <w:sz w:val="22"/>
                <w:szCs w:val="22"/>
                <w:u w:val="none"/>
              </w:rPr>
            </w:pPr>
          </w:p>
        </w:tc>
        <w:tc>
          <w:tcPr>
            <w:tcW w:w="0" w:type="auto"/>
            <w:tcBorders>
              <w:top w:val="nil"/>
              <w:left w:val="nil"/>
              <w:bottom w:val="nil"/>
              <w:right w:val="nil"/>
            </w:tcBorders>
            <w:shd w:val="clear"/>
            <w:noWrap/>
            <w:vAlign w:val="bottom"/>
          </w:tcPr>
          <w:p>
            <w:pPr>
              <w:rPr>
                <w:rFonts w:hint="eastAsia" w:ascii="等线" w:hAnsi="等线" w:eastAsia="等线" w:cs="等线"/>
                <w:i w:val="0"/>
                <w:iCs w:val="0"/>
                <w:color w:val="000000"/>
                <w:sz w:val="22"/>
                <w:szCs w:val="22"/>
                <w:u w:val="none"/>
              </w:rPr>
            </w:pPr>
          </w:p>
        </w:tc>
        <w:tc>
          <w:tcPr>
            <w:tcW w:w="0" w:type="auto"/>
            <w:tcBorders>
              <w:top w:val="nil"/>
              <w:left w:val="nil"/>
              <w:bottom w:val="nil"/>
              <w:right w:val="nil"/>
            </w:tcBorders>
            <w:shd w:val="clear"/>
            <w:noWrap/>
            <w:vAlign w:val="bottom"/>
          </w:tcPr>
          <w:p>
            <w:pPr>
              <w:rPr>
                <w:rFonts w:hint="eastAsia" w:ascii="等线" w:hAnsi="等线" w:eastAsia="等线" w:cs="等线"/>
                <w:i w:val="0"/>
                <w:iCs w:val="0"/>
                <w:color w:val="000000"/>
                <w:sz w:val="22"/>
                <w:szCs w:val="22"/>
                <w:u w:val="none"/>
              </w:rPr>
            </w:pPr>
          </w:p>
        </w:tc>
        <w:tc>
          <w:tcPr>
            <w:tcW w:w="0" w:type="auto"/>
            <w:tcBorders>
              <w:top w:val="nil"/>
              <w:left w:val="nil"/>
              <w:bottom w:val="nil"/>
              <w:right w:val="nil"/>
            </w:tcBorders>
            <w:shd w:val="clear"/>
            <w:noWrap/>
            <w:vAlign w:val="bottom"/>
          </w:tcPr>
          <w:p>
            <w:pPr>
              <w:rPr>
                <w:rFonts w:hint="eastAsia" w:ascii="等线" w:hAnsi="等线" w:eastAsia="等线" w:cs="等线"/>
                <w:i w:val="0"/>
                <w:iCs w:val="0"/>
                <w:color w:val="000000"/>
                <w:sz w:val="22"/>
                <w:szCs w:val="22"/>
                <w:u w:val="none"/>
              </w:rPr>
            </w:pPr>
          </w:p>
        </w:tc>
        <w:tc>
          <w:tcPr>
            <w:tcW w:w="0" w:type="auto"/>
            <w:tcBorders>
              <w:top w:val="nil"/>
              <w:left w:val="nil"/>
              <w:bottom w:val="nil"/>
              <w:right w:val="nil"/>
            </w:tcBorders>
            <w:shd w:val="clear"/>
            <w:noWrap/>
            <w:vAlign w:val="bottom"/>
          </w:tcPr>
          <w:p>
            <w:pPr>
              <w:rPr>
                <w:rFonts w:hint="eastAsia" w:ascii="等线" w:hAnsi="等线" w:eastAsia="等线" w:cs="等线"/>
                <w:i w:val="0"/>
                <w:iCs w:val="0"/>
                <w:color w:val="000000"/>
                <w:sz w:val="22"/>
                <w:szCs w:val="22"/>
                <w:u w:val="none"/>
              </w:rPr>
            </w:pPr>
          </w:p>
        </w:tc>
        <w:tc>
          <w:tcPr>
            <w:tcW w:w="0" w:type="auto"/>
            <w:tcBorders>
              <w:top w:val="nil"/>
              <w:left w:val="nil"/>
              <w:bottom w:val="nil"/>
              <w:right w:val="nil"/>
            </w:tcBorders>
            <w:shd w:val="clear"/>
            <w:noWrap/>
            <w:vAlign w:val="bottom"/>
          </w:tcPr>
          <w:p>
            <w:pPr>
              <w:rPr>
                <w:rFonts w:hint="eastAsia" w:ascii="等线" w:hAnsi="等线" w:eastAsia="等线" w:cs="等线"/>
                <w:i w:val="0"/>
                <w:iCs w:val="0"/>
                <w:color w:val="000000"/>
                <w:sz w:val="22"/>
                <w:szCs w:val="22"/>
                <w:u w:val="none"/>
              </w:rPr>
            </w:pPr>
          </w:p>
        </w:tc>
        <w:tc>
          <w:tcPr>
            <w:tcW w:w="0" w:type="auto"/>
            <w:tcBorders>
              <w:top w:val="nil"/>
              <w:left w:val="nil"/>
              <w:bottom w:val="nil"/>
              <w:right w:val="nil"/>
            </w:tcBorders>
            <w:shd w:val="clear"/>
            <w:noWrap/>
            <w:vAlign w:val="bottom"/>
          </w:tcPr>
          <w:p>
            <w:pPr>
              <w:rPr>
                <w:rFonts w:hint="eastAsia" w:ascii="等线" w:hAnsi="等线" w:eastAsia="等线" w:cs="等线"/>
                <w:i w:val="0"/>
                <w:iCs w:val="0"/>
                <w:color w:val="000000"/>
                <w:sz w:val="22"/>
                <w:szCs w:val="22"/>
                <w:u w:val="none"/>
              </w:rPr>
            </w:pPr>
          </w:p>
        </w:tc>
        <w:tc>
          <w:tcPr>
            <w:tcW w:w="0" w:type="auto"/>
            <w:tcBorders>
              <w:top w:val="nil"/>
              <w:left w:val="nil"/>
              <w:bottom w:val="nil"/>
              <w:right w:val="nil"/>
            </w:tcBorders>
            <w:shd w:val="clear"/>
            <w:noWrap/>
            <w:vAlign w:val="bottom"/>
          </w:tcPr>
          <w:p>
            <w:pPr>
              <w:rPr>
                <w:rFonts w:hint="eastAsia" w:ascii="等线" w:hAnsi="等线" w:eastAsia="等线" w:cs="等线"/>
                <w:i w:val="0"/>
                <w:iCs w:val="0"/>
                <w:color w:val="000000"/>
                <w:sz w:val="22"/>
                <w:szCs w:val="22"/>
                <w:u w:val="none"/>
              </w:rPr>
            </w:pPr>
          </w:p>
        </w:tc>
        <w:tc>
          <w:tcPr>
            <w:tcW w:w="0" w:type="auto"/>
            <w:tcBorders>
              <w:top w:val="nil"/>
              <w:left w:val="nil"/>
              <w:bottom w:val="nil"/>
              <w:right w:val="nil"/>
            </w:tcBorders>
            <w:shd w:val="clear"/>
            <w:noWrap/>
            <w:vAlign w:val="bottom"/>
          </w:tcPr>
          <w:p>
            <w:pPr>
              <w:rPr>
                <w:rFonts w:hint="eastAsia" w:ascii="等线" w:hAnsi="等线" w:eastAsia="等线" w:cs="等线"/>
                <w:i w:val="0"/>
                <w:iCs w:val="0"/>
                <w:color w:val="000000"/>
                <w:sz w:val="22"/>
                <w:szCs w:val="22"/>
                <w:u w:val="none"/>
              </w:rPr>
            </w:pPr>
          </w:p>
        </w:tc>
        <w:tc>
          <w:tcPr>
            <w:tcW w:w="0" w:type="auto"/>
            <w:tcBorders>
              <w:top w:val="nil"/>
              <w:left w:val="nil"/>
              <w:bottom w:val="nil"/>
              <w:right w:val="nil"/>
            </w:tcBorders>
            <w:shd w:val="clear"/>
            <w:noWrap/>
            <w:vAlign w:val="bottom"/>
          </w:tcPr>
          <w:p>
            <w:pPr>
              <w:rPr>
                <w:rFonts w:hint="eastAsia" w:ascii="等线" w:hAnsi="等线" w:eastAsia="等线" w:cs="等线"/>
                <w:i w:val="0"/>
                <w:iCs w:val="0"/>
                <w:color w:val="000000"/>
                <w:sz w:val="22"/>
                <w:szCs w:val="22"/>
                <w:u w:val="none"/>
              </w:rPr>
            </w:pPr>
          </w:p>
        </w:tc>
        <w:tc>
          <w:tcPr>
            <w:tcW w:w="0" w:type="auto"/>
            <w:tcBorders>
              <w:top w:val="nil"/>
              <w:left w:val="nil"/>
              <w:bottom w:val="nil"/>
              <w:right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4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单位代码</w:t>
            </w:r>
          </w:p>
        </w:tc>
        <w:tc>
          <w:tcPr>
            <w:tcW w:w="7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单位名称</w:t>
            </w:r>
          </w:p>
        </w:tc>
        <w:tc>
          <w:tcPr>
            <w:tcW w:w="76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6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预算资金总额</w:t>
            </w:r>
          </w:p>
        </w:tc>
        <w:tc>
          <w:tcPr>
            <w:tcW w:w="15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年度绩效目标</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8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63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经济效益指标</w:t>
            </w:r>
          </w:p>
        </w:tc>
        <w:tc>
          <w:tcPr>
            <w:tcW w:w="11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生态效益指标</w:t>
            </w:r>
          </w:p>
        </w:tc>
        <w:tc>
          <w:tcPr>
            <w:tcW w:w="8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可持续效益指标</w:t>
            </w:r>
          </w:p>
        </w:tc>
        <w:tc>
          <w:tcPr>
            <w:tcW w:w="79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服务对象满意度指标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Calibri" w:hAnsi="Calibri" w:cs="Calibri"/>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百色市信访局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143.48</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20" w:hRule="atLeast"/>
        </w:trPr>
        <w:tc>
          <w:tcPr>
            <w:tcW w:w="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126001</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百色市信访局</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驻京驻邕信访维稳工作经费</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110.78</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保障驻京驻邕信访维稳经费，确保驻京驻邕工作顺利开展，维护社会和谐稳定。</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数量指标：按月选派人员驻京驻邕信访维稳值班(＝1月)</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数量指标：落实信访法治化要求，做好进京赴邕人员的引导劝返(≥100%)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质量指标：不发生因信访问题处置不当引发涉稳事件和舆论事件(≤1次)</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时效指标：逐月及时支付驻京驻邕信访维稳工作经费(≤1月)</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成本指标：足额支付驻京驻邕信访维稳工作经费(≤110.78万元)</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社会效益指标：减少进京赴邕信访人员频次，维护社会稳定(100%)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满意度指标：信访群众满意度(≥95%)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75" w:hRule="atLeast"/>
        </w:trPr>
        <w:tc>
          <w:tcPr>
            <w:tcW w:w="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126001</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百色市信访局</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信访业务专项经费</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信访业务专项经费，用于信访业务经费补充、敏感节点到县区督查指导差旅、中央、自治区交办信访积案化解、党政领导走访下访、会议及其他商品服务等支出费用。</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数量指标：受理群众信访事项，应受理未受理情况(≤15%)</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数量指标：受理办理不规范信访事项督办情况，提交办结率(≥90%)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质量指标：申诉求决类初次信访一次性化解情况(≥90%)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时效指标：信访事项及时受理率(≥95%)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成本指标：完成年度信访事项办理(≤10万元)</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社会效益指标：信访业务工作顺利开展，确保信访案件及时妥善处理(信访业务工作顺利开展)</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满意度指标：信访工作群众满意率(≥95%)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5" w:hRule="atLeast"/>
        </w:trPr>
        <w:tc>
          <w:tcPr>
            <w:tcW w:w="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126001</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百色市信访局</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基层党组织活动经费</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0.70</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保障基层党组织活动经费，确保党组织活动顺利开展。</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数量指标：组织党员教育学习次数(≥4次)</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质量指标：支部党员参与率(≥95%)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时效指标：及时开展党员学习活动(≥4次)</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成本指标：党员教育学习经费支出(＝0.7万元)</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社会效益指标：党组织建设覆盖率(＝1个)</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满意度指标：党建参与者满意度(≥95%)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0" w:hRule="atLeast"/>
        </w:trPr>
        <w:tc>
          <w:tcPr>
            <w:tcW w:w="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126001</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百色市信访局</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信访信息化网络运行和维护工作经费</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2025年做好信访信息系统、视频接访系统的维护，及时支付网络运维、网上信访系统接入及硬件维修更换等费用。</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数量指标：硬件维护数量(≥1套)</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质量指标：系统维护合格率(≥98%)</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时效指标：系统故障修复处理时间(＜2小时)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时效指标：系统运行维护响应时间(＜30分钟)</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成本指标：年度维护成本(≤40000元)</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可持续效益指标：系统正常使用年限(＝1年)</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满意度指标：使用人员满意度(≥90%)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25" w:hRule="atLeast"/>
        </w:trPr>
        <w:tc>
          <w:tcPr>
            <w:tcW w:w="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126001</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百色市信访局</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百色市群众信访服务中心物业管理费</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18.00</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做好2025年市群众信访服务中心物业管理工作。保障物业管理人员到位，管理有序，服务规范，设备运行无障碍，中心环境卫生整洁，按时支付物业费、水电费、电梯维护、花草维护等费用。</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数量指标：物业养护面积(≥2285平方米)</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质量指标：中心公共卫生达标率(≥95%)</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质量指标：中心公共安全事故发生率(≤1次)</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时效指标：物业管理费支付及时率(＝12月)</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成本指标：物业管理费支出(≤18万元)</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社会效益指标：中心安全运营，保护工作人员和来访群众人身安全。(≥365天)</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满意度指标：机关职工满意率(≥90%)</w:t>
            </w:r>
          </w:p>
        </w:tc>
      </w:tr>
    </w:tbl>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sectPr>
          <w:pgSz w:w="16838" w:h="11906" w:orient="landscape"/>
          <w:pgMar w:top="1800" w:right="1440" w:bottom="1800" w:left="144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2.重点项目预算绩效目标说明。</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重点项目一：项目名称驻京驻邕信访维稳工作经费，预算资金110.78万元，</w:t>
      </w:r>
      <w:r>
        <w:rPr>
          <w:rFonts w:hint="eastAsia" w:ascii="仿宋_GB2312" w:hAnsi="仿宋_GB2312" w:eastAsia="仿宋_GB2312" w:cs="仿宋_GB2312"/>
          <w:sz w:val="30"/>
          <w:szCs w:val="30"/>
          <w:lang w:val="en-US" w:eastAsia="zh-CN"/>
        </w:rPr>
        <w:t>2025</w:t>
      </w:r>
      <w:r>
        <w:rPr>
          <w:rFonts w:hint="eastAsia" w:ascii="仿宋_GB2312" w:hAnsi="仿宋_GB2312" w:eastAsia="仿宋_GB2312" w:cs="仿宋_GB2312"/>
          <w:sz w:val="30"/>
          <w:szCs w:val="30"/>
        </w:rPr>
        <w:t>年度绩效目标为保障驻京驻邕信访维稳经费，确保驻京驻邕工作顺利开展，维护社会和谐稳定，绩效指标情况详见报表11</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p>
    <w:tbl>
      <w:tblPr>
        <w:tblW w:w="12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235"/>
        <w:gridCol w:w="1511"/>
        <w:gridCol w:w="2016"/>
        <w:gridCol w:w="2395"/>
        <w:gridCol w:w="4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12678" w:type="dxa"/>
            <w:gridSpan w:val="5"/>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2025年度部门预算百色市项目支出绩效目标申报表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678" w:type="dxa"/>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驻京驻邕信访维稳工作经费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项目编码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451000213006126300001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百色市信访局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项目主管单位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126-百色市信访局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2-阶段性项目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58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资金来源</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trPr>
        <w:tc>
          <w:tcPr>
            <w:tcW w:w="15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trPr>
        <w:tc>
          <w:tcPr>
            <w:tcW w:w="15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其中：一般公共预算拨款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其中：上级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trPr>
        <w:tc>
          <w:tcPr>
            <w:tcW w:w="15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本级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trPr>
        <w:tc>
          <w:tcPr>
            <w:tcW w:w="15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政府性基金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15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国有资本经营预算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trPr>
        <w:tc>
          <w:tcPr>
            <w:tcW w:w="15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648" w:type="dxa"/>
            <w:gridSpan w:val="2"/>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5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年度绩效目标</w:t>
            </w:r>
          </w:p>
        </w:tc>
        <w:tc>
          <w:tcPr>
            <w:tcW w:w="11094"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保障驻京驻邕信访维稳经费，确保驻京驻邕工作顺利开展，维护社会和谐稳定。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8" w:hRule="atLeast"/>
        </w:trPr>
        <w:tc>
          <w:tcPr>
            <w:tcW w:w="158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项目年度绩效目标衡量指标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指标内容</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15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数量指标</w:t>
            </w:r>
          </w:p>
        </w:tc>
        <w:tc>
          <w:tcPr>
            <w:tcW w:w="44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按月选派人员驻京驻邕信访维稳值班</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落实信访法治化要求，做好进京赴邕人员的引导劝返</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15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质量指标</w:t>
            </w:r>
          </w:p>
        </w:tc>
        <w:tc>
          <w:tcPr>
            <w:tcW w:w="44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不发生因信访问题处置不当引发涉稳事件和舆论事件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15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时效指标</w:t>
            </w:r>
          </w:p>
        </w:tc>
        <w:tc>
          <w:tcPr>
            <w:tcW w:w="44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逐月及时支付驻京驻邕信访维稳工作经费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15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成本指标</w:t>
            </w:r>
          </w:p>
        </w:tc>
        <w:tc>
          <w:tcPr>
            <w:tcW w:w="44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足额支付驻京驻邕信访维稳工作经费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≤110.78万元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15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社会效益</w:t>
            </w:r>
          </w:p>
        </w:tc>
        <w:tc>
          <w:tcPr>
            <w:tcW w:w="44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减少进京赴邕信访人员频次，维护社会稳定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15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服务对象满意度</w:t>
            </w:r>
          </w:p>
        </w:tc>
        <w:tc>
          <w:tcPr>
            <w:tcW w:w="44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信访群众满意度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r>
    </w:tbl>
    <w:p>
      <w:pPr>
        <w:ind w:firstLine="640"/>
        <w:rPr>
          <w:rFonts w:hint="eastAsia" w:ascii="仿宋_GB2312" w:hAnsi="仿宋_GB2312" w:eastAsia="仿宋_GB2312" w:cs="仿宋_GB2312"/>
          <w:sz w:val="32"/>
          <w:szCs w:val="32"/>
        </w:rPr>
        <w:sectPr>
          <w:pgSz w:w="16838" w:h="11906" w:orient="landscape"/>
          <w:pgMar w:top="1800" w:right="1440" w:bottom="1800" w:left="1440" w:header="851" w:footer="992" w:gutter="0"/>
          <w:cols w:space="720" w:num="1"/>
          <w:docGrid w:type="lines" w:linePitch="312" w:charSpace="0"/>
        </w:sectPr>
      </w:pPr>
    </w:p>
    <w:p>
      <w:pPr>
        <w:jc w:val="center"/>
        <w:outlineLvl w:val="0"/>
        <w:rPr>
          <w:rFonts w:hint="eastAsia" w:ascii="黑体" w:hAnsi="黑体" w:eastAsia="黑体" w:cs="方正小标宋简体"/>
          <w:sz w:val="44"/>
          <w:szCs w:val="44"/>
        </w:rPr>
      </w:pPr>
      <w:r>
        <w:rPr>
          <w:rFonts w:hint="eastAsia" w:ascii="黑体" w:hAnsi="黑体" w:eastAsia="黑体" w:cs="方正小标宋简体"/>
          <w:sz w:val="44"/>
          <w:szCs w:val="44"/>
        </w:rPr>
        <w:t>第四部分  名词解释</w:t>
      </w:r>
    </w:p>
    <w:p>
      <w:pPr>
        <w:keepNext w:val="0"/>
        <w:keepLines w:val="0"/>
        <w:pageBreakBefore w:val="0"/>
        <w:widowControl w:val="0"/>
        <w:kinsoku/>
        <w:wordWrap/>
        <w:overflowPunct/>
        <w:topLinePunct w:val="0"/>
        <w:autoSpaceDE/>
        <w:autoSpaceDN/>
        <w:bidi w:val="0"/>
        <w:adjustRightInd/>
        <w:snapToGrid/>
        <w:spacing w:line="600" w:lineRule="exact"/>
        <w:ind w:left="1"/>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0"/>
          <w:szCs w:val="30"/>
        </w:rPr>
      </w:pPr>
      <w:r>
        <w:rPr>
          <w:rFonts w:hint="eastAsia" w:ascii="仿宋_GB2312" w:eastAsia="仿宋_GB2312"/>
          <w:b/>
          <w:sz w:val="32"/>
          <w:szCs w:val="32"/>
        </w:rPr>
        <w:t xml:space="preserve"> </w:t>
      </w:r>
      <w:r>
        <w:rPr>
          <w:rFonts w:hint="eastAsia" w:ascii="仿宋_GB2312" w:eastAsia="仿宋_GB2312"/>
          <w:b/>
          <w:sz w:val="30"/>
          <w:szCs w:val="30"/>
        </w:rPr>
        <w:t xml:space="preserve">   </w:t>
      </w:r>
      <w:r>
        <w:rPr>
          <w:rFonts w:hint="eastAsia" w:ascii="仿宋_GB2312" w:eastAsia="仿宋_GB2312"/>
          <w:b/>
          <w:sz w:val="30"/>
          <w:szCs w:val="30"/>
          <w:lang w:val="en-US" w:eastAsia="zh-CN"/>
        </w:rPr>
        <w:t>一、财政拨款收入</w:t>
      </w:r>
      <w:r>
        <w:rPr>
          <w:rFonts w:hint="eastAsia" w:ascii="仿宋_GB2312" w:eastAsia="仿宋_GB2312"/>
          <w:b/>
          <w:sz w:val="30"/>
          <w:szCs w:val="30"/>
        </w:rPr>
        <w:t>：</w:t>
      </w:r>
      <w:r>
        <w:rPr>
          <w:rFonts w:hint="eastAsia" w:ascii="仿宋_GB2312" w:eastAsia="仿宋_GB2312"/>
          <w:sz w:val="30"/>
          <w:szCs w:val="30"/>
          <w:lang w:val="en-US" w:eastAsia="zh-CN"/>
        </w:rPr>
        <w:t>指预算单位从本级财政部门取得的财政预算资金收入</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0"/>
          <w:szCs w:val="30"/>
        </w:rPr>
      </w:pPr>
      <w:r>
        <w:rPr>
          <w:rFonts w:hint="eastAsia" w:ascii="仿宋_GB2312" w:eastAsia="仿宋_GB2312"/>
          <w:b/>
          <w:sz w:val="30"/>
          <w:szCs w:val="30"/>
        </w:rPr>
        <w:t xml:space="preserve">    </w:t>
      </w:r>
      <w:r>
        <w:rPr>
          <w:rFonts w:hint="eastAsia" w:ascii="仿宋_GB2312" w:eastAsia="仿宋_GB2312"/>
          <w:b/>
          <w:sz w:val="30"/>
          <w:szCs w:val="30"/>
          <w:lang w:val="en-US" w:eastAsia="zh-CN"/>
        </w:rPr>
        <w:t>二、事业收入</w:t>
      </w:r>
      <w:r>
        <w:rPr>
          <w:rFonts w:hint="eastAsia" w:ascii="仿宋_GB2312" w:eastAsia="仿宋_GB2312"/>
          <w:b/>
          <w:sz w:val="30"/>
          <w:szCs w:val="30"/>
        </w:rPr>
        <w:t>：</w:t>
      </w:r>
      <w:r>
        <w:rPr>
          <w:rFonts w:hint="eastAsia" w:ascii="仿宋_GB2312" w:eastAsia="仿宋_GB2312"/>
          <w:sz w:val="30"/>
          <w:szCs w:val="30"/>
          <w:lang w:val="en-US" w:eastAsia="zh-CN"/>
        </w:rPr>
        <w:t>指事业单位开展专业业务活动及辅助活动所取得的收入</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0"/>
          <w:szCs w:val="30"/>
        </w:rPr>
      </w:pPr>
      <w:r>
        <w:rPr>
          <w:rFonts w:hint="eastAsia" w:ascii="仿宋_GB2312" w:eastAsia="仿宋_GB2312"/>
          <w:b/>
          <w:sz w:val="30"/>
          <w:szCs w:val="30"/>
        </w:rPr>
        <w:t xml:space="preserve">    </w:t>
      </w:r>
      <w:r>
        <w:rPr>
          <w:rFonts w:hint="eastAsia" w:ascii="仿宋_GB2312" w:eastAsia="仿宋_GB2312"/>
          <w:b/>
          <w:sz w:val="30"/>
          <w:szCs w:val="30"/>
          <w:lang w:val="en-US" w:eastAsia="zh-CN"/>
        </w:rPr>
        <w:t>三、经营收入</w:t>
      </w:r>
      <w:r>
        <w:rPr>
          <w:rFonts w:hint="eastAsia" w:ascii="仿宋_GB2312" w:eastAsia="仿宋_GB2312"/>
          <w:b/>
          <w:sz w:val="30"/>
          <w:szCs w:val="30"/>
        </w:rPr>
        <w:t>：</w:t>
      </w:r>
      <w:r>
        <w:rPr>
          <w:rFonts w:hint="eastAsia" w:ascii="仿宋_GB2312" w:eastAsia="仿宋_GB2312"/>
          <w:sz w:val="30"/>
          <w:szCs w:val="30"/>
          <w:lang w:val="en-US" w:eastAsia="zh-CN"/>
        </w:rPr>
        <w:t>指事业单位在专业业务活动及其辅助活动之外开展非独立核算经营活动取得的收入</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0"/>
          <w:szCs w:val="30"/>
        </w:rPr>
      </w:pPr>
      <w:r>
        <w:rPr>
          <w:rFonts w:hint="eastAsia" w:ascii="仿宋_GB2312" w:eastAsia="仿宋_GB2312"/>
          <w:b/>
          <w:sz w:val="30"/>
          <w:szCs w:val="30"/>
        </w:rPr>
        <w:t xml:space="preserve">    </w:t>
      </w:r>
      <w:r>
        <w:rPr>
          <w:rFonts w:hint="eastAsia" w:ascii="仿宋_GB2312" w:eastAsia="仿宋_GB2312"/>
          <w:b/>
          <w:sz w:val="30"/>
          <w:szCs w:val="30"/>
          <w:lang w:val="en-US" w:eastAsia="zh-CN"/>
        </w:rPr>
        <w:t>四、其他收入</w:t>
      </w:r>
      <w:r>
        <w:rPr>
          <w:rFonts w:hint="eastAsia" w:ascii="仿宋_GB2312" w:eastAsia="仿宋_GB2312"/>
          <w:b/>
          <w:sz w:val="30"/>
          <w:szCs w:val="30"/>
        </w:rPr>
        <w:t>：</w:t>
      </w:r>
      <w:r>
        <w:rPr>
          <w:rFonts w:hint="eastAsia" w:ascii="仿宋_GB2312" w:eastAsia="仿宋_GB2312"/>
          <w:sz w:val="30"/>
          <w:szCs w:val="30"/>
          <w:lang w:val="en-US" w:eastAsia="zh-CN"/>
        </w:rPr>
        <w:t>指除上述“财政拨款收入”、“事业收入”、“经营收入”等以外的收入。主要是非本级财政拨款、存款利息收入、事业单位固定资产出租收入等</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0"/>
          <w:szCs w:val="30"/>
        </w:rPr>
      </w:pPr>
      <w:r>
        <w:rPr>
          <w:rFonts w:hint="eastAsia" w:ascii="仿宋_GB2312" w:eastAsia="仿宋_GB2312"/>
          <w:b/>
          <w:sz w:val="30"/>
          <w:szCs w:val="30"/>
        </w:rPr>
        <w:t xml:space="preserve">    </w:t>
      </w:r>
      <w:r>
        <w:rPr>
          <w:rFonts w:hint="eastAsia" w:ascii="仿宋_GB2312" w:eastAsia="仿宋_GB2312"/>
          <w:b/>
          <w:sz w:val="30"/>
          <w:szCs w:val="30"/>
          <w:lang w:val="en-US" w:eastAsia="zh-CN"/>
        </w:rPr>
        <w:t>五、用事业基金弥补收支差额</w:t>
      </w:r>
      <w:r>
        <w:rPr>
          <w:rFonts w:hint="eastAsia" w:ascii="仿宋_GB2312" w:eastAsia="仿宋_GB2312"/>
          <w:b/>
          <w:sz w:val="30"/>
          <w:szCs w:val="30"/>
        </w:rPr>
        <w:t>：</w:t>
      </w:r>
      <w:r>
        <w:rPr>
          <w:rFonts w:hint="eastAsia" w:ascii="仿宋_GB2312" w:eastAsia="仿宋_GB2312"/>
          <w:sz w:val="30"/>
          <w:szCs w:val="30"/>
          <w:lang w:val="en-US" w:eastAsia="zh-CN"/>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0"/>
          <w:szCs w:val="30"/>
        </w:rPr>
      </w:pPr>
      <w:r>
        <w:rPr>
          <w:rFonts w:hint="eastAsia" w:ascii="仿宋_GB2312" w:eastAsia="仿宋_GB2312"/>
          <w:b/>
          <w:sz w:val="30"/>
          <w:szCs w:val="30"/>
        </w:rPr>
        <w:t xml:space="preserve">    </w:t>
      </w:r>
      <w:r>
        <w:rPr>
          <w:rFonts w:hint="eastAsia" w:ascii="仿宋_GB2312" w:eastAsia="仿宋_GB2312"/>
          <w:b/>
          <w:sz w:val="30"/>
          <w:szCs w:val="30"/>
          <w:lang w:val="en-US" w:eastAsia="zh-CN"/>
        </w:rPr>
        <w:t>六、年初结转和结余</w:t>
      </w:r>
      <w:r>
        <w:rPr>
          <w:rFonts w:hint="eastAsia" w:ascii="仿宋_GB2312" w:eastAsia="仿宋_GB2312"/>
          <w:b/>
          <w:sz w:val="30"/>
          <w:szCs w:val="30"/>
        </w:rPr>
        <w:t>：</w:t>
      </w:r>
      <w:r>
        <w:rPr>
          <w:rFonts w:hint="eastAsia" w:ascii="仿宋_GB2312" w:eastAsia="仿宋_GB2312"/>
          <w:sz w:val="30"/>
          <w:szCs w:val="30"/>
          <w:lang w:val="en-US" w:eastAsia="zh-CN"/>
        </w:rPr>
        <w:t>指以前年度尚未完成、结转到本年按有关规定继续使用的资金</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0"/>
          <w:szCs w:val="30"/>
        </w:rPr>
      </w:pPr>
      <w:r>
        <w:rPr>
          <w:rFonts w:hint="eastAsia" w:ascii="仿宋_GB2312" w:eastAsia="仿宋_GB2312"/>
          <w:b/>
          <w:sz w:val="30"/>
          <w:szCs w:val="30"/>
        </w:rPr>
        <w:t xml:space="preserve">    </w:t>
      </w:r>
      <w:r>
        <w:rPr>
          <w:rFonts w:hint="eastAsia" w:ascii="仿宋_GB2312" w:eastAsia="仿宋_GB2312"/>
          <w:b/>
          <w:sz w:val="30"/>
          <w:szCs w:val="30"/>
          <w:lang w:val="en-US" w:eastAsia="zh-CN"/>
        </w:rPr>
        <w:t>七、结余分配</w:t>
      </w:r>
      <w:r>
        <w:rPr>
          <w:rFonts w:hint="eastAsia" w:ascii="仿宋_GB2312" w:eastAsia="仿宋_GB2312"/>
          <w:b/>
          <w:sz w:val="30"/>
          <w:szCs w:val="30"/>
        </w:rPr>
        <w:t>：</w:t>
      </w:r>
      <w:r>
        <w:rPr>
          <w:rFonts w:hint="eastAsia" w:ascii="仿宋_GB2312" w:eastAsia="仿宋_GB2312"/>
          <w:sz w:val="30"/>
          <w:szCs w:val="30"/>
          <w:lang w:val="en-US" w:eastAsia="zh-CN"/>
        </w:rPr>
        <w:t>指事业单位按规定提取的职工福利基金、事业基金和缴纳的所得税，以及建设单位按规定应交回的基本建设竣工项目结余资金</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0"/>
          <w:szCs w:val="30"/>
        </w:rPr>
      </w:pPr>
      <w:r>
        <w:rPr>
          <w:rFonts w:hint="eastAsia" w:ascii="仿宋_GB2312" w:eastAsia="仿宋_GB2312"/>
          <w:b/>
          <w:sz w:val="30"/>
          <w:szCs w:val="30"/>
        </w:rPr>
        <w:t xml:space="preserve">    </w:t>
      </w:r>
      <w:r>
        <w:rPr>
          <w:rFonts w:hint="eastAsia" w:ascii="仿宋_GB2312" w:eastAsia="仿宋_GB2312"/>
          <w:b/>
          <w:sz w:val="30"/>
          <w:szCs w:val="30"/>
          <w:lang w:val="en-US" w:eastAsia="zh-CN"/>
        </w:rPr>
        <w:t>八、年末结转和结余</w:t>
      </w:r>
      <w:r>
        <w:rPr>
          <w:rFonts w:hint="eastAsia" w:ascii="仿宋_GB2312" w:eastAsia="仿宋_GB2312"/>
          <w:b/>
          <w:sz w:val="30"/>
          <w:szCs w:val="30"/>
        </w:rPr>
        <w:t>：</w:t>
      </w:r>
      <w:r>
        <w:rPr>
          <w:rFonts w:hint="eastAsia" w:ascii="仿宋_GB2312" w:eastAsia="仿宋_GB2312"/>
          <w:sz w:val="30"/>
          <w:szCs w:val="30"/>
          <w:lang w:val="en-US" w:eastAsia="zh-CN"/>
        </w:rPr>
        <w:t>指本年度或以前年度预算安排、因客观条件发生变化无法按原计划实施，需要延迟到以后年度按有关规定继续使用的资金</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0"/>
          <w:szCs w:val="30"/>
        </w:rPr>
      </w:pPr>
      <w:r>
        <w:rPr>
          <w:rFonts w:hint="eastAsia" w:ascii="仿宋_GB2312" w:eastAsia="仿宋_GB2312"/>
          <w:b/>
          <w:sz w:val="30"/>
          <w:szCs w:val="30"/>
        </w:rPr>
        <w:t xml:space="preserve">    </w:t>
      </w:r>
      <w:r>
        <w:rPr>
          <w:rFonts w:hint="eastAsia" w:ascii="仿宋_GB2312" w:eastAsia="仿宋_GB2312"/>
          <w:b/>
          <w:sz w:val="30"/>
          <w:szCs w:val="30"/>
          <w:lang w:val="en-US" w:eastAsia="zh-CN"/>
        </w:rPr>
        <w:t>九、基本支出</w:t>
      </w:r>
      <w:r>
        <w:rPr>
          <w:rFonts w:hint="eastAsia" w:ascii="仿宋_GB2312" w:eastAsia="仿宋_GB2312"/>
          <w:b/>
          <w:sz w:val="30"/>
          <w:szCs w:val="30"/>
        </w:rPr>
        <w:t>：</w:t>
      </w:r>
      <w:r>
        <w:rPr>
          <w:rFonts w:hint="eastAsia" w:ascii="仿宋_GB2312" w:eastAsia="仿宋_GB2312"/>
          <w:sz w:val="30"/>
          <w:szCs w:val="30"/>
          <w:lang w:val="en-US" w:eastAsia="zh-CN"/>
        </w:rPr>
        <w:t>指为保障机构正常运转、完成日常工作任务而发生的人员支出和公用支出</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0"/>
          <w:szCs w:val="30"/>
        </w:rPr>
      </w:pPr>
      <w:r>
        <w:rPr>
          <w:rFonts w:hint="eastAsia" w:ascii="仿宋_GB2312" w:eastAsia="仿宋_GB2312"/>
          <w:b/>
          <w:sz w:val="30"/>
          <w:szCs w:val="30"/>
        </w:rPr>
        <w:t xml:space="preserve">    </w:t>
      </w:r>
      <w:r>
        <w:rPr>
          <w:rFonts w:hint="eastAsia" w:ascii="仿宋_GB2312" w:eastAsia="仿宋_GB2312"/>
          <w:b/>
          <w:sz w:val="30"/>
          <w:szCs w:val="30"/>
          <w:lang w:val="en-US" w:eastAsia="zh-CN"/>
        </w:rPr>
        <w:t>十、项目支出</w:t>
      </w:r>
      <w:r>
        <w:rPr>
          <w:rFonts w:hint="eastAsia" w:ascii="仿宋_GB2312" w:eastAsia="仿宋_GB2312"/>
          <w:b/>
          <w:sz w:val="30"/>
          <w:szCs w:val="30"/>
        </w:rPr>
        <w:t>：</w:t>
      </w:r>
      <w:r>
        <w:rPr>
          <w:rFonts w:hint="eastAsia" w:ascii="仿宋_GB2312" w:eastAsia="仿宋_GB2312"/>
          <w:sz w:val="30"/>
          <w:szCs w:val="30"/>
          <w:lang w:val="en-US" w:eastAsia="zh-CN"/>
        </w:rPr>
        <w:t>指在基本支出之外为完成特定行政任务和事业发展目标所发生的支出</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0"/>
          <w:szCs w:val="30"/>
        </w:rPr>
      </w:pPr>
      <w:r>
        <w:rPr>
          <w:rFonts w:hint="eastAsia" w:ascii="仿宋_GB2312" w:eastAsia="仿宋_GB2312"/>
          <w:b/>
          <w:sz w:val="30"/>
          <w:szCs w:val="30"/>
        </w:rPr>
        <w:t xml:space="preserve">    </w:t>
      </w:r>
      <w:r>
        <w:rPr>
          <w:rFonts w:hint="eastAsia" w:ascii="仿宋_GB2312" w:eastAsia="仿宋_GB2312"/>
          <w:b/>
          <w:sz w:val="30"/>
          <w:szCs w:val="30"/>
          <w:lang w:val="en-US" w:eastAsia="zh-CN"/>
        </w:rPr>
        <w:t>十一、经营支出</w:t>
      </w:r>
      <w:r>
        <w:rPr>
          <w:rFonts w:hint="eastAsia" w:ascii="仿宋_GB2312" w:eastAsia="仿宋_GB2312"/>
          <w:b/>
          <w:sz w:val="30"/>
          <w:szCs w:val="30"/>
        </w:rPr>
        <w:t>：</w:t>
      </w:r>
      <w:r>
        <w:rPr>
          <w:rFonts w:hint="eastAsia" w:ascii="仿宋_GB2312" w:eastAsia="仿宋_GB2312"/>
          <w:sz w:val="30"/>
          <w:szCs w:val="30"/>
          <w:lang w:val="en-US" w:eastAsia="zh-CN"/>
        </w:rPr>
        <w:t>指事业单位在专业业务活动及其辅助活动之外开展非独立核算经营活动所发生的支出</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0"/>
          <w:szCs w:val="30"/>
        </w:rPr>
      </w:pPr>
      <w:r>
        <w:rPr>
          <w:rFonts w:hint="eastAsia" w:ascii="仿宋_GB2312" w:eastAsia="仿宋_GB2312"/>
          <w:b/>
          <w:sz w:val="30"/>
          <w:szCs w:val="30"/>
        </w:rPr>
        <w:t xml:space="preserve">    </w:t>
      </w:r>
      <w:r>
        <w:rPr>
          <w:rFonts w:hint="eastAsia" w:ascii="仿宋_GB2312" w:eastAsia="仿宋_GB2312"/>
          <w:b/>
          <w:sz w:val="30"/>
          <w:szCs w:val="30"/>
          <w:lang w:val="en-US" w:eastAsia="zh-CN"/>
        </w:rPr>
        <w:t>十二、“三公”经费</w:t>
      </w:r>
      <w:r>
        <w:rPr>
          <w:rFonts w:hint="eastAsia" w:ascii="仿宋_GB2312" w:eastAsia="仿宋_GB2312"/>
          <w:b/>
          <w:sz w:val="30"/>
          <w:szCs w:val="30"/>
        </w:rPr>
        <w:t>：</w:t>
      </w:r>
      <w:r>
        <w:rPr>
          <w:rFonts w:hint="eastAsia" w:ascii="仿宋_GB2312" w:eastAsia="仿宋_GB2312"/>
          <w:sz w:val="30"/>
          <w:szCs w:val="30"/>
          <w:lang w:val="en-US" w:eastAsia="zh-CN"/>
        </w:rPr>
        <w:t>纳入财政预决算管理的“三公”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0"/>
          <w:szCs w:val="30"/>
        </w:rPr>
      </w:pPr>
      <w:r>
        <w:rPr>
          <w:rFonts w:hint="eastAsia" w:ascii="仿宋_GB2312" w:eastAsia="仿宋_GB2312"/>
          <w:b/>
          <w:sz w:val="30"/>
          <w:szCs w:val="30"/>
        </w:rPr>
        <w:t xml:space="preserve">    </w:t>
      </w:r>
      <w:r>
        <w:rPr>
          <w:rFonts w:hint="eastAsia" w:ascii="仿宋_GB2312" w:eastAsia="仿宋_GB2312"/>
          <w:b/>
          <w:sz w:val="30"/>
          <w:szCs w:val="30"/>
          <w:lang w:val="en-US" w:eastAsia="zh-CN"/>
        </w:rPr>
        <w:t>十三、机关运行经费</w:t>
      </w:r>
      <w:r>
        <w:rPr>
          <w:rFonts w:hint="eastAsia" w:ascii="仿宋_GB2312" w:eastAsia="仿宋_GB2312"/>
          <w:b/>
          <w:sz w:val="30"/>
          <w:szCs w:val="30"/>
        </w:rPr>
        <w:t>：</w:t>
      </w:r>
      <w:r>
        <w:rPr>
          <w:rFonts w:hint="eastAsia" w:ascii="仿宋_GB2312" w:eastAsia="仿宋_GB2312"/>
          <w:sz w:val="30"/>
          <w:szCs w:val="30"/>
          <w:lang w:val="en-US" w:eastAsia="zh-CN"/>
        </w:rPr>
        <w:t>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sz w:val="30"/>
          <w:szCs w:val="30"/>
        </w:rPr>
        <w:t>。</w:t>
      </w:r>
    </w:p>
    <w:bookmarkEnd w:id="0"/>
    <w:p>
      <w:pPr>
        <w:rPr>
          <w:sz w:val="30"/>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10491F-1ACB-4EAC-A773-BE749605A9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AD1A51C-E54A-4074-A662-C065AF613D29}"/>
  </w:font>
  <w:font w:name="Cambria">
    <w:panose1 w:val="02040503050406030204"/>
    <w:charset w:val="00"/>
    <w:family w:val="auto"/>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430CC4FF-50A8-4124-B877-8D9D06B49A18}"/>
  </w:font>
  <w:font w:name="仿宋_GB2312">
    <w:altName w:val="仿宋"/>
    <w:panose1 w:val="02010609030101010101"/>
    <w:charset w:val="86"/>
    <w:family w:val="modern"/>
    <w:pitch w:val="default"/>
    <w:sig w:usb0="00000000" w:usb1="00000000" w:usb2="00000000" w:usb3="00000000" w:csb0="00040000" w:csb1="00000000"/>
    <w:embedRegular r:id="rId4" w:fontKey="{E4C414B5-6D3A-4CEB-AB17-C6CE3047D2AD}"/>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embedRegular r:id="rId5" w:fontKey="{CF20F5FC-3FCA-407C-A324-0805393C5D87}"/>
  </w:font>
  <w:font w:name="等线">
    <w:panose1 w:val="02010600030101010101"/>
    <w:charset w:val="86"/>
    <w:family w:val="auto"/>
    <w:pitch w:val="default"/>
    <w:sig w:usb0="A00002BF" w:usb1="38CF7CFA" w:usb2="00000016" w:usb3="00000000" w:csb0="0004000F" w:csb1="00000000"/>
    <w:embedRegular r:id="rId6" w:fontKey="{A7FD46BD-6818-4089-9A2C-80743AF69F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ZGUyYmIxZGI1NDNhNGZjZWI4Mzc3NjA3N2EzYzgifQ=="/>
  </w:docVars>
  <w:rsids>
    <w:rsidRoot w:val="00560CCC"/>
    <w:rsid w:val="00001E5E"/>
    <w:rsid w:val="00011766"/>
    <w:rsid w:val="00033665"/>
    <w:rsid w:val="000617A4"/>
    <w:rsid w:val="0007617B"/>
    <w:rsid w:val="000907DB"/>
    <w:rsid w:val="000A2339"/>
    <w:rsid w:val="000A4C11"/>
    <w:rsid w:val="000B12F2"/>
    <w:rsid w:val="000C0314"/>
    <w:rsid w:val="000C504A"/>
    <w:rsid w:val="000D6DA0"/>
    <w:rsid w:val="000E5D5A"/>
    <w:rsid w:val="000F6B2B"/>
    <w:rsid w:val="00117AC7"/>
    <w:rsid w:val="001272E3"/>
    <w:rsid w:val="00152FBA"/>
    <w:rsid w:val="00164A5F"/>
    <w:rsid w:val="001666FD"/>
    <w:rsid w:val="00176374"/>
    <w:rsid w:val="001A6EA7"/>
    <w:rsid w:val="001B3230"/>
    <w:rsid w:val="001B3533"/>
    <w:rsid w:val="001D18AA"/>
    <w:rsid w:val="001D4270"/>
    <w:rsid w:val="001D7B98"/>
    <w:rsid w:val="001E155E"/>
    <w:rsid w:val="001E1898"/>
    <w:rsid w:val="001F299F"/>
    <w:rsid w:val="001F46F7"/>
    <w:rsid w:val="001F7057"/>
    <w:rsid w:val="002040BA"/>
    <w:rsid w:val="00204F0B"/>
    <w:rsid w:val="00204F40"/>
    <w:rsid w:val="0020745E"/>
    <w:rsid w:val="00213DA9"/>
    <w:rsid w:val="002214E6"/>
    <w:rsid w:val="00254882"/>
    <w:rsid w:val="0025738D"/>
    <w:rsid w:val="0027242E"/>
    <w:rsid w:val="002A0E8F"/>
    <w:rsid w:val="002A1814"/>
    <w:rsid w:val="002A279B"/>
    <w:rsid w:val="002A4F4F"/>
    <w:rsid w:val="002A5D7C"/>
    <w:rsid w:val="002C450A"/>
    <w:rsid w:val="002C4D26"/>
    <w:rsid w:val="002D10CA"/>
    <w:rsid w:val="002E2B3D"/>
    <w:rsid w:val="002E5849"/>
    <w:rsid w:val="002F229E"/>
    <w:rsid w:val="002F5B21"/>
    <w:rsid w:val="00305022"/>
    <w:rsid w:val="00314A0B"/>
    <w:rsid w:val="00332209"/>
    <w:rsid w:val="00337C11"/>
    <w:rsid w:val="00350932"/>
    <w:rsid w:val="00353B2F"/>
    <w:rsid w:val="00360505"/>
    <w:rsid w:val="00365D9B"/>
    <w:rsid w:val="003752C8"/>
    <w:rsid w:val="00381040"/>
    <w:rsid w:val="00383D98"/>
    <w:rsid w:val="00386BE9"/>
    <w:rsid w:val="003965B7"/>
    <w:rsid w:val="003B5C0A"/>
    <w:rsid w:val="003C0CF8"/>
    <w:rsid w:val="003C277E"/>
    <w:rsid w:val="00457527"/>
    <w:rsid w:val="00464718"/>
    <w:rsid w:val="0047400F"/>
    <w:rsid w:val="00490C63"/>
    <w:rsid w:val="004936C2"/>
    <w:rsid w:val="00496DA9"/>
    <w:rsid w:val="004B1127"/>
    <w:rsid w:val="004B324A"/>
    <w:rsid w:val="004B52F0"/>
    <w:rsid w:val="004B6727"/>
    <w:rsid w:val="004E28F1"/>
    <w:rsid w:val="004E7373"/>
    <w:rsid w:val="005121E4"/>
    <w:rsid w:val="00540DC4"/>
    <w:rsid w:val="005442BE"/>
    <w:rsid w:val="0055292C"/>
    <w:rsid w:val="00560CCC"/>
    <w:rsid w:val="0057264A"/>
    <w:rsid w:val="00576BE2"/>
    <w:rsid w:val="005806C8"/>
    <w:rsid w:val="00584AAC"/>
    <w:rsid w:val="0059256A"/>
    <w:rsid w:val="005A6D9A"/>
    <w:rsid w:val="005D1AA9"/>
    <w:rsid w:val="005E42B5"/>
    <w:rsid w:val="005E7A43"/>
    <w:rsid w:val="005E7C33"/>
    <w:rsid w:val="006012DC"/>
    <w:rsid w:val="00624FAE"/>
    <w:rsid w:val="0063274E"/>
    <w:rsid w:val="00660972"/>
    <w:rsid w:val="00675556"/>
    <w:rsid w:val="00692FA7"/>
    <w:rsid w:val="006A5F54"/>
    <w:rsid w:val="006B4205"/>
    <w:rsid w:val="006C562F"/>
    <w:rsid w:val="006D2EA0"/>
    <w:rsid w:val="006E7395"/>
    <w:rsid w:val="006F5282"/>
    <w:rsid w:val="00707AB9"/>
    <w:rsid w:val="007125BE"/>
    <w:rsid w:val="00716279"/>
    <w:rsid w:val="00717A05"/>
    <w:rsid w:val="0072797F"/>
    <w:rsid w:val="00735E59"/>
    <w:rsid w:val="007364D6"/>
    <w:rsid w:val="00754D9A"/>
    <w:rsid w:val="00771D3C"/>
    <w:rsid w:val="007A7827"/>
    <w:rsid w:val="007C35B7"/>
    <w:rsid w:val="007C3E78"/>
    <w:rsid w:val="007C5C61"/>
    <w:rsid w:val="007F5309"/>
    <w:rsid w:val="00807C0E"/>
    <w:rsid w:val="008171CC"/>
    <w:rsid w:val="0082037C"/>
    <w:rsid w:val="00822B8D"/>
    <w:rsid w:val="008249E3"/>
    <w:rsid w:val="00847B34"/>
    <w:rsid w:val="00856A69"/>
    <w:rsid w:val="00872AE0"/>
    <w:rsid w:val="00885685"/>
    <w:rsid w:val="008C53AB"/>
    <w:rsid w:val="008D6223"/>
    <w:rsid w:val="008E1601"/>
    <w:rsid w:val="008E6D60"/>
    <w:rsid w:val="008E779F"/>
    <w:rsid w:val="008F28F9"/>
    <w:rsid w:val="00900D14"/>
    <w:rsid w:val="00901DA1"/>
    <w:rsid w:val="00910A29"/>
    <w:rsid w:val="00924E6D"/>
    <w:rsid w:val="00940221"/>
    <w:rsid w:val="0095514F"/>
    <w:rsid w:val="009656EC"/>
    <w:rsid w:val="0096638C"/>
    <w:rsid w:val="00972008"/>
    <w:rsid w:val="009757C4"/>
    <w:rsid w:val="00992139"/>
    <w:rsid w:val="00993DEF"/>
    <w:rsid w:val="00997BAF"/>
    <w:rsid w:val="009A3772"/>
    <w:rsid w:val="009B01A7"/>
    <w:rsid w:val="009C2BCD"/>
    <w:rsid w:val="009C6A97"/>
    <w:rsid w:val="009D26CF"/>
    <w:rsid w:val="009D477C"/>
    <w:rsid w:val="009D4811"/>
    <w:rsid w:val="009E35C5"/>
    <w:rsid w:val="009E70F5"/>
    <w:rsid w:val="009E72BD"/>
    <w:rsid w:val="009F3B8E"/>
    <w:rsid w:val="00A02D97"/>
    <w:rsid w:val="00A10E8A"/>
    <w:rsid w:val="00A551B2"/>
    <w:rsid w:val="00A61DA2"/>
    <w:rsid w:val="00A63695"/>
    <w:rsid w:val="00A64367"/>
    <w:rsid w:val="00A77A6A"/>
    <w:rsid w:val="00A9055E"/>
    <w:rsid w:val="00A96D33"/>
    <w:rsid w:val="00AA08AD"/>
    <w:rsid w:val="00AA09D6"/>
    <w:rsid w:val="00AB3983"/>
    <w:rsid w:val="00AB3E95"/>
    <w:rsid w:val="00AB6CA7"/>
    <w:rsid w:val="00AB741C"/>
    <w:rsid w:val="00AD3ED6"/>
    <w:rsid w:val="00AE2452"/>
    <w:rsid w:val="00AF6644"/>
    <w:rsid w:val="00B036C2"/>
    <w:rsid w:val="00B0656C"/>
    <w:rsid w:val="00B07183"/>
    <w:rsid w:val="00B10B68"/>
    <w:rsid w:val="00B11453"/>
    <w:rsid w:val="00B43AF7"/>
    <w:rsid w:val="00B462C6"/>
    <w:rsid w:val="00B46918"/>
    <w:rsid w:val="00B50902"/>
    <w:rsid w:val="00B51E7C"/>
    <w:rsid w:val="00B85DF3"/>
    <w:rsid w:val="00BC60F6"/>
    <w:rsid w:val="00BE7680"/>
    <w:rsid w:val="00C1127C"/>
    <w:rsid w:val="00C14640"/>
    <w:rsid w:val="00C223D7"/>
    <w:rsid w:val="00C3080E"/>
    <w:rsid w:val="00C56CF8"/>
    <w:rsid w:val="00C63DF8"/>
    <w:rsid w:val="00C706A0"/>
    <w:rsid w:val="00C70E61"/>
    <w:rsid w:val="00C83A84"/>
    <w:rsid w:val="00CA497A"/>
    <w:rsid w:val="00CC0A5F"/>
    <w:rsid w:val="00CC1A8E"/>
    <w:rsid w:val="00CC4783"/>
    <w:rsid w:val="00CC5033"/>
    <w:rsid w:val="00CE14B0"/>
    <w:rsid w:val="00CF6007"/>
    <w:rsid w:val="00D15F5C"/>
    <w:rsid w:val="00D20272"/>
    <w:rsid w:val="00D32921"/>
    <w:rsid w:val="00D6610C"/>
    <w:rsid w:val="00D77C2C"/>
    <w:rsid w:val="00D87E6F"/>
    <w:rsid w:val="00D90536"/>
    <w:rsid w:val="00D90FB3"/>
    <w:rsid w:val="00DA05DE"/>
    <w:rsid w:val="00DA157E"/>
    <w:rsid w:val="00DA23EC"/>
    <w:rsid w:val="00DB1F4B"/>
    <w:rsid w:val="00DC09D2"/>
    <w:rsid w:val="00DC0DF2"/>
    <w:rsid w:val="00DD58FD"/>
    <w:rsid w:val="00DD778A"/>
    <w:rsid w:val="00DE172B"/>
    <w:rsid w:val="00DE3F8D"/>
    <w:rsid w:val="00DE53ED"/>
    <w:rsid w:val="00E15280"/>
    <w:rsid w:val="00E36114"/>
    <w:rsid w:val="00E523EF"/>
    <w:rsid w:val="00E55BD8"/>
    <w:rsid w:val="00E74E88"/>
    <w:rsid w:val="00E8195C"/>
    <w:rsid w:val="00E864AB"/>
    <w:rsid w:val="00E93323"/>
    <w:rsid w:val="00EA00CC"/>
    <w:rsid w:val="00ED7808"/>
    <w:rsid w:val="00EF4DAB"/>
    <w:rsid w:val="00F00F6A"/>
    <w:rsid w:val="00F15349"/>
    <w:rsid w:val="00F37786"/>
    <w:rsid w:val="00F55DF6"/>
    <w:rsid w:val="00F57A35"/>
    <w:rsid w:val="00F60FAC"/>
    <w:rsid w:val="00F83CDA"/>
    <w:rsid w:val="00F9420E"/>
    <w:rsid w:val="00F9750D"/>
    <w:rsid w:val="00FB2244"/>
    <w:rsid w:val="00FB62B3"/>
    <w:rsid w:val="00FC1442"/>
    <w:rsid w:val="00FC6D50"/>
    <w:rsid w:val="00FD089E"/>
    <w:rsid w:val="00FE675F"/>
    <w:rsid w:val="00FF0D3C"/>
    <w:rsid w:val="00FF259D"/>
    <w:rsid w:val="01036D43"/>
    <w:rsid w:val="010D427B"/>
    <w:rsid w:val="012A0989"/>
    <w:rsid w:val="013805A3"/>
    <w:rsid w:val="01714809"/>
    <w:rsid w:val="01776BD7"/>
    <w:rsid w:val="017839F7"/>
    <w:rsid w:val="017B11E4"/>
    <w:rsid w:val="018A79CF"/>
    <w:rsid w:val="018D0F17"/>
    <w:rsid w:val="01910D47"/>
    <w:rsid w:val="01916BDC"/>
    <w:rsid w:val="01945110"/>
    <w:rsid w:val="019C1919"/>
    <w:rsid w:val="01B0282E"/>
    <w:rsid w:val="01B32CF1"/>
    <w:rsid w:val="01B45622"/>
    <w:rsid w:val="01C26E13"/>
    <w:rsid w:val="01C7267B"/>
    <w:rsid w:val="01D41E44"/>
    <w:rsid w:val="01D90AFF"/>
    <w:rsid w:val="01D95F9B"/>
    <w:rsid w:val="01FC710B"/>
    <w:rsid w:val="01FD609D"/>
    <w:rsid w:val="020E02AA"/>
    <w:rsid w:val="02117D9A"/>
    <w:rsid w:val="02123C79"/>
    <w:rsid w:val="02177074"/>
    <w:rsid w:val="022A49B8"/>
    <w:rsid w:val="022B0E5C"/>
    <w:rsid w:val="023C4E17"/>
    <w:rsid w:val="023C4EBB"/>
    <w:rsid w:val="023D64D3"/>
    <w:rsid w:val="02443CCC"/>
    <w:rsid w:val="02532A52"/>
    <w:rsid w:val="025D690F"/>
    <w:rsid w:val="026365D7"/>
    <w:rsid w:val="02762D3E"/>
    <w:rsid w:val="02777BFD"/>
    <w:rsid w:val="028265A2"/>
    <w:rsid w:val="02895B83"/>
    <w:rsid w:val="028A3BBA"/>
    <w:rsid w:val="02A62291"/>
    <w:rsid w:val="02C31095"/>
    <w:rsid w:val="02D50DC8"/>
    <w:rsid w:val="02EF1E8A"/>
    <w:rsid w:val="02EF28D7"/>
    <w:rsid w:val="02FF0C65"/>
    <w:rsid w:val="030D2310"/>
    <w:rsid w:val="03284CF4"/>
    <w:rsid w:val="03517310"/>
    <w:rsid w:val="03697D60"/>
    <w:rsid w:val="036D1000"/>
    <w:rsid w:val="03A2514E"/>
    <w:rsid w:val="03A42A90"/>
    <w:rsid w:val="03B749B0"/>
    <w:rsid w:val="03BD5AE4"/>
    <w:rsid w:val="03C2759E"/>
    <w:rsid w:val="03C50E3C"/>
    <w:rsid w:val="03C7077C"/>
    <w:rsid w:val="03CE5F43"/>
    <w:rsid w:val="03DA227A"/>
    <w:rsid w:val="03E26ED3"/>
    <w:rsid w:val="03EC461B"/>
    <w:rsid w:val="03EF2B33"/>
    <w:rsid w:val="04041965"/>
    <w:rsid w:val="040A2CF3"/>
    <w:rsid w:val="040D00EE"/>
    <w:rsid w:val="040E0D93"/>
    <w:rsid w:val="04111891"/>
    <w:rsid w:val="043A35D9"/>
    <w:rsid w:val="04414C5A"/>
    <w:rsid w:val="045046D1"/>
    <w:rsid w:val="047168CE"/>
    <w:rsid w:val="04814D63"/>
    <w:rsid w:val="049B1897"/>
    <w:rsid w:val="04A24CDA"/>
    <w:rsid w:val="04BC5D9C"/>
    <w:rsid w:val="04E470A0"/>
    <w:rsid w:val="04E97DD1"/>
    <w:rsid w:val="04F03C97"/>
    <w:rsid w:val="04F35535"/>
    <w:rsid w:val="04F80D9E"/>
    <w:rsid w:val="05123C0E"/>
    <w:rsid w:val="05195009"/>
    <w:rsid w:val="051B15A9"/>
    <w:rsid w:val="05235E1B"/>
    <w:rsid w:val="05295307"/>
    <w:rsid w:val="052B1173"/>
    <w:rsid w:val="053B7608"/>
    <w:rsid w:val="05596E5C"/>
    <w:rsid w:val="05600E1D"/>
    <w:rsid w:val="056170FB"/>
    <w:rsid w:val="056A3A4A"/>
    <w:rsid w:val="057743B8"/>
    <w:rsid w:val="05B15E1B"/>
    <w:rsid w:val="05B20F4D"/>
    <w:rsid w:val="05C313AC"/>
    <w:rsid w:val="05C72C4A"/>
    <w:rsid w:val="05C869C2"/>
    <w:rsid w:val="05CC64B2"/>
    <w:rsid w:val="05D2339D"/>
    <w:rsid w:val="05D76A8A"/>
    <w:rsid w:val="05DA63D5"/>
    <w:rsid w:val="06035C4C"/>
    <w:rsid w:val="061B724B"/>
    <w:rsid w:val="062E4029"/>
    <w:rsid w:val="063955D8"/>
    <w:rsid w:val="06400C4E"/>
    <w:rsid w:val="06562220"/>
    <w:rsid w:val="0668340C"/>
    <w:rsid w:val="066C559F"/>
    <w:rsid w:val="06930D7E"/>
    <w:rsid w:val="06986394"/>
    <w:rsid w:val="069A3DCD"/>
    <w:rsid w:val="069C1310"/>
    <w:rsid w:val="06B37672"/>
    <w:rsid w:val="06B454AB"/>
    <w:rsid w:val="06B64A6C"/>
    <w:rsid w:val="06C36432"/>
    <w:rsid w:val="06CB0518"/>
    <w:rsid w:val="07216662"/>
    <w:rsid w:val="073747A5"/>
    <w:rsid w:val="074A1311"/>
    <w:rsid w:val="074A3B33"/>
    <w:rsid w:val="074E4C94"/>
    <w:rsid w:val="07524795"/>
    <w:rsid w:val="075E313A"/>
    <w:rsid w:val="07683FB9"/>
    <w:rsid w:val="078037FF"/>
    <w:rsid w:val="078B7CA7"/>
    <w:rsid w:val="07A86AAB"/>
    <w:rsid w:val="07B264E2"/>
    <w:rsid w:val="07BE69AE"/>
    <w:rsid w:val="07C338E5"/>
    <w:rsid w:val="07D7113E"/>
    <w:rsid w:val="07DE071F"/>
    <w:rsid w:val="07FD05F4"/>
    <w:rsid w:val="07FF6A27"/>
    <w:rsid w:val="080053A9"/>
    <w:rsid w:val="08017F69"/>
    <w:rsid w:val="08033CE1"/>
    <w:rsid w:val="08161C67"/>
    <w:rsid w:val="0822685D"/>
    <w:rsid w:val="08265067"/>
    <w:rsid w:val="08367CC1"/>
    <w:rsid w:val="08457A88"/>
    <w:rsid w:val="086821BB"/>
    <w:rsid w:val="086C13EE"/>
    <w:rsid w:val="08783F6C"/>
    <w:rsid w:val="0889068B"/>
    <w:rsid w:val="088E5CD2"/>
    <w:rsid w:val="08AA0601"/>
    <w:rsid w:val="08B4089E"/>
    <w:rsid w:val="08D37B58"/>
    <w:rsid w:val="08D77379"/>
    <w:rsid w:val="08E27D9B"/>
    <w:rsid w:val="08EF4C46"/>
    <w:rsid w:val="09105B16"/>
    <w:rsid w:val="092F2A83"/>
    <w:rsid w:val="09394272"/>
    <w:rsid w:val="09450FED"/>
    <w:rsid w:val="09543578"/>
    <w:rsid w:val="095A3DD5"/>
    <w:rsid w:val="095F5373"/>
    <w:rsid w:val="096609CC"/>
    <w:rsid w:val="098A290C"/>
    <w:rsid w:val="098A46BA"/>
    <w:rsid w:val="099E4EE1"/>
    <w:rsid w:val="09A412D6"/>
    <w:rsid w:val="09AF3CD4"/>
    <w:rsid w:val="09D670BD"/>
    <w:rsid w:val="09D77A57"/>
    <w:rsid w:val="09E57B43"/>
    <w:rsid w:val="0A0655BF"/>
    <w:rsid w:val="0A067AB9"/>
    <w:rsid w:val="0A140428"/>
    <w:rsid w:val="0A1F5B1A"/>
    <w:rsid w:val="0A205206"/>
    <w:rsid w:val="0A222B45"/>
    <w:rsid w:val="0A29389E"/>
    <w:rsid w:val="0A2B7F5D"/>
    <w:rsid w:val="0A333D80"/>
    <w:rsid w:val="0A357A30"/>
    <w:rsid w:val="0A4A6971"/>
    <w:rsid w:val="0A6F38B0"/>
    <w:rsid w:val="0A7055E5"/>
    <w:rsid w:val="0A7A14EC"/>
    <w:rsid w:val="0A7E24A5"/>
    <w:rsid w:val="0A874DD1"/>
    <w:rsid w:val="0A8A2498"/>
    <w:rsid w:val="0A92506E"/>
    <w:rsid w:val="0A981059"/>
    <w:rsid w:val="0AA2244C"/>
    <w:rsid w:val="0AA31575"/>
    <w:rsid w:val="0AA66C64"/>
    <w:rsid w:val="0AB203A8"/>
    <w:rsid w:val="0ABE1947"/>
    <w:rsid w:val="0AC57974"/>
    <w:rsid w:val="0ACC3362"/>
    <w:rsid w:val="0ADD2F10"/>
    <w:rsid w:val="0AE147AE"/>
    <w:rsid w:val="0AF64815"/>
    <w:rsid w:val="0AFA5870"/>
    <w:rsid w:val="0B016BFE"/>
    <w:rsid w:val="0B071BA7"/>
    <w:rsid w:val="0B0E2A6A"/>
    <w:rsid w:val="0B1A3596"/>
    <w:rsid w:val="0B381EF4"/>
    <w:rsid w:val="0B3A5C6C"/>
    <w:rsid w:val="0B4D593C"/>
    <w:rsid w:val="0B502FED"/>
    <w:rsid w:val="0B6373B4"/>
    <w:rsid w:val="0B6A21C3"/>
    <w:rsid w:val="0B6C25DF"/>
    <w:rsid w:val="0B724B39"/>
    <w:rsid w:val="0B7F731F"/>
    <w:rsid w:val="0B8D0492"/>
    <w:rsid w:val="0B9C2483"/>
    <w:rsid w:val="0B9E444D"/>
    <w:rsid w:val="0BA8707A"/>
    <w:rsid w:val="0BBE689D"/>
    <w:rsid w:val="0BC1013B"/>
    <w:rsid w:val="0BC67500"/>
    <w:rsid w:val="0BCB2D68"/>
    <w:rsid w:val="0BCB7D33"/>
    <w:rsid w:val="0BF46F3F"/>
    <w:rsid w:val="0BF95B27"/>
    <w:rsid w:val="0BFF2A12"/>
    <w:rsid w:val="0BFF62F6"/>
    <w:rsid w:val="0C193AD3"/>
    <w:rsid w:val="0C1B5314"/>
    <w:rsid w:val="0C2343F9"/>
    <w:rsid w:val="0C434FF4"/>
    <w:rsid w:val="0C4548C9"/>
    <w:rsid w:val="0C462940"/>
    <w:rsid w:val="0C5A4BA3"/>
    <w:rsid w:val="0C661175"/>
    <w:rsid w:val="0C684027"/>
    <w:rsid w:val="0C6D3E1F"/>
    <w:rsid w:val="0C8F023A"/>
    <w:rsid w:val="0C963376"/>
    <w:rsid w:val="0C9C424D"/>
    <w:rsid w:val="0CA24551"/>
    <w:rsid w:val="0CCC1461"/>
    <w:rsid w:val="0CE916F8"/>
    <w:rsid w:val="0CF23D55"/>
    <w:rsid w:val="0D095D2A"/>
    <w:rsid w:val="0D1F15BD"/>
    <w:rsid w:val="0D270FEC"/>
    <w:rsid w:val="0D3A1F53"/>
    <w:rsid w:val="0D3F756A"/>
    <w:rsid w:val="0D4205F6"/>
    <w:rsid w:val="0D4C15CA"/>
    <w:rsid w:val="0D527471"/>
    <w:rsid w:val="0D570D57"/>
    <w:rsid w:val="0D592EEF"/>
    <w:rsid w:val="0D5F7C0C"/>
    <w:rsid w:val="0D6E7E4F"/>
    <w:rsid w:val="0D7A67F4"/>
    <w:rsid w:val="0D832434"/>
    <w:rsid w:val="0D8C4A31"/>
    <w:rsid w:val="0DA41AC3"/>
    <w:rsid w:val="0DA47D15"/>
    <w:rsid w:val="0DAA3924"/>
    <w:rsid w:val="0DAE649D"/>
    <w:rsid w:val="0DC932D7"/>
    <w:rsid w:val="0DCF495E"/>
    <w:rsid w:val="0DDE33CC"/>
    <w:rsid w:val="0DFB570C"/>
    <w:rsid w:val="0E005A9E"/>
    <w:rsid w:val="0E017A76"/>
    <w:rsid w:val="0E1450E4"/>
    <w:rsid w:val="0E19425F"/>
    <w:rsid w:val="0E223278"/>
    <w:rsid w:val="0E285773"/>
    <w:rsid w:val="0E3015A8"/>
    <w:rsid w:val="0E364DDA"/>
    <w:rsid w:val="0E405625"/>
    <w:rsid w:val="0E4F61B7"/>
    <w:rsid w:val="0E653000"/>
    <w:rsid w:val="0E791713"/>
    <w:rsid w:val="0E796AAB"/>
    <w:rsid w:val="0E807E3A"/>
    <w:rsid w:val="0E884F40"/>
    <w:rsid w:val="0E97177E"/>
    <w:rsid w:val="0EA77ABC"/>
    <w:rsid w:val="0EAB162B"/>
    <w:rsid w:val="0EAE0E4B"/>
    <w:rsid w:val="0EBD108E"/>
    <w:rsid w:val="0ECB7FF9"/>
    <w:rsid w:val="0ECD6DF7"/>
    <w:rsid w:val="0EF11263"/>
    <w:rsid w:val="0EF63A53"/>
    <w:rsid w:val="0EFB5712"/>
    <w:rsid w:val="0F144A26"/>
    <w:rsid w:val="0F256C33"/>
    <w:rsid w:val="0F5C08A7"/>
    <w:rsid w:val="0F6109AA"/>
    <w:rsid w:val="0F637C9A"/>
    <w:rsid w:val="0F6E05DA"/>
    <w:rsid w:val="0F6F0E3D"/>
    <w:rsid w:val="0FC1070A"/>
    <w:rsid w:val="0FC3444E"/>
    <w:rsid w:val="0FC71A98"/>
    <w:rsid w:val="0FC843B1"/>
    <w:rsid w:val="0FCC70AF"/>
    <w:rsid w:val="0FD54405"/>
    <w:rsid w:val="0FF36C20"/>
    <w:rsid w:val="10010DE7"/>
    <w:rsid w:val="101146EA"/>
    <w:rsid w:val="10117079"/>
    <w:rsid w:val="101747CE"/>
    <w:rsid w:val="10305890"/>
    <w:rsid w:val="103435D2"/>
    <w:rsid w:val="103C005D"/>
    <w:rsid w:val="103F4B2D"/>
    <w:rsid w:val="104E4A31"/>
    <w:rsid w:val="104F21BA"/>
    <w:rsid w:val="1052657B"/>
    <w:rsid w:val="1053332C"/>
    <w:rsid w:val="10563548"/>
    <w:rsid w:val="105E7593"/>
    <w:rsid w:val="10786825"/>
    <w:rsid w:val="107A5A2B"/>
    <w:rsid w:val="107E484D"/>
    <w:rsid w:val="107F4121"/>
    <w:rsid w:val="10993435"/>
    <w:rsid w:val="109B4BF6"/>
    <w:rsid w:val="10FC21CE"/>
    <w:rsid w:val="10FC5772"/>
    <w:rsid w:val="1102722C"/>
    <w:rsid w:val="11062AC9"/>
    <w:rsid w:val="110765F0"/>
    <w:rsid w:val="111B209C"/>
    <w:rsid w:val="111E393A"/>
    <w:rsid w:val="114F61E9"/>
    <w:rsid w:val="1153530B"/>
    <w:rsid w:val="115378FB"/>
    <w:rsid w:val="11637337"/>
    <w:rsid w:val="11701E29"/>
    <w:rsid w:val="11717704"/>
    <w:rsid w:val="117A14B8"/>
    <w:rsid w:val="117A2E35"/>
    <w:rsid w:val="11862280"/>
    <w:rsid w:val="119A56B6"/>
    <w:rsid w:val="119D44AA"/>
    <w:rsid w:val="11A46141"/>
    <w:rsid w:val="11AA069F"/>
    <w:rsid w:val="11C444E1"/>
    <w:rsid w:val="11C865A2"/>
    <w:rsid w:val="11DA5722"/>
    <w:rsid w:val="11DC71F8"/>
    <w:rsid w:val="11EB3476"/>
    <w:rsid w:val="11EC3680"/>
    <w:rsid w:val="11FE3E97"/>
    <w:rsid w:val="120945EA"/>
    <w:rsid w:val="1211524D"/>
    <w:rsid w:val="121E0096"/>
    <w:rsid w:val="121F06BA"/>
    <w:rsid w:val="122C0164"/>
    <w:rsid w:val="12652607"/>
    <w:rsid w:val="126A3816"/>
    <w:rsid w:val="12891287"/>
    <w:rsid w:val="12922832"/>
    <w:rsid w:val="129465AA"/>
    <w:rsid w:val="129701D5"/>
    <w:rsid w:val="129B7767"/>
    <w:rsid w:val="129C720C"/>
    <w:rsid w:val="12AF5192"/>
    <w:rsid w:val="12C616AB"/>
    <w:rsid w:val="12DD1CFF"/>
    <w:rsid w:val="12DD7310"/>
    <w:rsid w:val="13016A31"/>
    <w:rsid w:val="13053004"/>
    <w:rsid w:val="13070B2A"/>
    <w:rsid w:val="132555BA"/>
    <w:rsid w:val="13332C74"/>
    <w:rsid w:val="13390EFF"/>
    <w:rsid w:val="133F0089"/>
    <w:rsid w:val="13410513"/>
    <w:rsid w:val="134B1AD3"/>
    <w:rsid w:val="13587797"/>
    <w:rsid w:val="136A249C"/>
    <w:rsid w:val="137926EE"/>
    <w:rsid w:val="13806B2E"/>
    <w:rsid w:val="13824654"/>
    <w:rsid w:val="138403CC"/>
    <w:rsid w:val="138A52B7"/>
    <w:rsid w:val="13946135"/>
    <w:rsid w:val="139D148E"/>
    <w:rsid w:val="13AF1201"/>
    <w:rsid w:val="13C576DE"/>
    <w:rsid w:val="13DD0ACE"/>
    <w:rsid w:val="13EB50CE"/>
    <w:rsid w:val="13F015BE"/>
    <w:rsid w:val="13F43E5A"/>
    <w:rsid w:val="14117786"/>
    <w:rsid w:val="141D437D"/>
    <w:rsid w:val="14254B61"/>
    <w:rsid w:val="142E20E6"/>
    <w:rsid w:val="143B1266"/>
    <w:rsid w:val="143E4A1F"/>
    <w:rsid w:val="143E558A"/>
    <w:rsid w:val="14431274"/>
    <w:rsid w:val="144C7045"/>
    <w:rsid w:val="14552EB1"/>
    <w:rsid w:val="1457163D"/>
    <w:rsid w:val="145B2E54"/>
    <w:rsid w:val="146124BC"/>
    <w:rsid w:val="146401FE"/>
    <w:rsid w:val="14643D5A"/>
    <w:rsid w:val="147D226B"/>
    <w:rsid w:val="148015B9"/>
    <w:rsid w:val="14825131"/>
    <w:rsid w:val="149C34F4"/>
    <w:rsid w:val="14A66120"/>
    <w:rsid w:val="14B628F2"/>
    <w:rsid w:val="14C67496"/>
    <w:rsid w:val="14DE66C6"/>
    <w:rsid w:val="14F74624"/>
    <w:rsid w:val="1517701E"/>
    <w:rsid w:val="1534258F"/>
    <w:rsid w:val="15393438"/>
    <w:rsid w:val="15597637"/>
    <w:rsid w:val="156A1844"/>
    <w:rsid w:val="1574621E"/>
    <w:rsid w:val="15802E15"/>
    <w:rsid w:val="1584460A"/>
    <w:rsid w:val="15847ACA"/>
    <w:rsid w:val="1585667E"/>
    <w:rsid w:val="1587205C"/>
    <w:rsid w:val="15AC3C0A"/>
    <w:rsid w:val="15B35F47"/>
    <w:rsid w:val="15D0546F"/>
    <w:rsid w:val="15DB44F0"/>
    <w:rsid w:val="15F1381F"/>
    <w:rsid w:val="15F829AC"/>
    <w:rsid w:val="161D0664"/>
    <w:rsid w:val="162B4B2F"/>
    <w:rsid w:val="162C08A7"/>
    <w:rsid w:val="16356869"/>
    <w:rsid w:val="163C4C29"/>
    <w:rsid w:val="164B6F7F"/>
    <w:rsid w:val="166149F5"/>
    <w:rsid w:val="16816E45"/>
    <w:rsid w:val="16886BA2"/>
    <w:rsid w:val="168F6C2A"/>
    <w:rsid w:val="16A0311C"/>
    <w:rsid w:val="16C44047"/>
    <w:rsid w:val="16C62AAA"/>
    <w:rsid w:val="16DE0A1B"/>
    <w:rsid w:val="16EA7853"/>
    <w:rsid w:val="16FD6AE2"/>
    <w:rsid w:val="17057A2A"/>
    <w:rsid w:val="17410B14"/>
    <w:rsid w:val="17577A16"/>
    <w:rsid w:val="175E2CE2"/>
    <w:rsid w:val="17664476"/>
    <w:rsid w:val="176B0226"/>
    <w:rsid w:val="176F549D"/>
    <w:rsid w:val="17777B16"/>
    <w:rsid w:val="1783099B"/>
    <w:rsid w:val="178F5592"/>
    <w:rsid w:val="17945B62"/>
    <w:rsid w:val="17BD20FF"/>
    <w:rsid w:val="17BD5C5B"/>
    <w:rsid w:val="17D80CE7"/>
    <w:rsid w:val="17DC7FDE"/>
    <w:rsid w:val="17DF30DD"/>
    <w:rsid w:val="17E21BDA"/>
    <w:rsid w:val="17E55ACB"/>
    <w:rsid w:val="17F31CE1"/>
    <w:rsid w:val="18080C8D"/>
    <w:rsid w:val="18147845"/>
    <w:rsid w:val="18245CDA"/>
    <w:rsid w:val="182E3B95"/>
    <w:rsid w:val="183D3DB6"/>
    <w:rsid w:val="1843557E"/>
    <w:rsid w:val="185A5BA0"/>
    <w:rsid w:val="185D743E"/>
    <w:rsid w:val="187753D6"/>
    <w:rsid w:val="18822A00"/>
    <w:rsid w:val="18964231"/>
    <w:rsid w:val="18972950"/>
    <w:rsid w:val="189D783A"/>
    <w:rsid w:val="18A706B9"/>
    <w:rsid w:val="18A71303"/>
    <w:rsid w:val="18B057C0"/>
    <w:rsid w:val="18C9062F"/>
    <w:rsid w:val="18E3314F"/>
    <w:rsid w:val="18E37943"/>
    <w:rsid w:val="18E41600"/>
    <w:rsid w:val="18F2402A"/>
    <w:rsid w:val="18F73BF3"/>
    <w:rsid w:val="19006747"/>
    <w:rsid w:val="1901426D"/>
    <w:rsid w:val="192341E3"/>
    <w:rsid w:val="19235F91"/>
    <w:rsid w:val="19244075"/>
    <w:rsid w:val="19362169"/>
    <w:rsid w:val="19502AFF"/>
    <w:rsid w:val="19573E8D"/>
    <w:rsid w:val="19662322"/>
    <w:rsid w:val="197F0D78"/>
    <w:rsid w:val="198509FA"/>
    <w:rsid w:val="19856C4C"/>
    <w:rsid w:val="199D3F96"/>
    <w:rsid w:val="19AF5817"/>
    <w:rsid w:val="19B22E0D"/>
    <w:rsid w:val="19B4308D"/>
    <w:rsid w:val="1A085187"/>
    <w:rsid w:val="1A0A34A9"/>
    <w:rsid w:val="1A2032A6"/>
    <w:rsid w:val="1A366198"/>
    <w:rsid w:val="1A402B73"/>
    <w:rsid w:val="1A4C776A"/>
    <w:rsid w:val="1A5328A6"/>
    <w:rsid w:val="1A5D3725"/>
    <w:rsid w:val="1A6C5716"/>
    <w:rsid w:val="1A78230D"/>
    <w:rsid w:val="1AA72BF2"/>
    <w:rsid w:val="1ABD5F72"/>
    <w:rsid w:val="1AC11F06"/>
    <w:rsid w:val="1AC45552"/>
    <w:rsid w:val="1AC93C23"/>
    <w:rsid w:val="1ACC5E29"/>
    <w:rsid w:val="1AE23C2A"/>
    <w:rsid w:val="1AFA5418"/>
    <w:rsid w:val="1B0D514B"/>
    <w:rsid w:val="1B0F49DD"/>
    <w:rsid w:val="1B663169"/>
    <w:rsid w:val="1B83540D"/>
    <w:rsid w:val="1B8814BB"/>
    <w:rsid w:val="1BA62EAA"/>
    <w:rsid w:val="1BAC5DB8"/>
    <w:rsid w:val="1BBD4F04"/>
    <w:rsid w:val="1BC25F36"/>
    <w:rsid w:val="1BD80C8D"/>
    <w:rsid w:val="1BE32CA3"/>
    <w:rsid w:val="1BEF7568"/>
    <w:rsid w:val="1BF754B3"/>
    <w:rsid w:val="1C114776"/>
    <w:rsid w:val="1C197B20"/>
    <w:rsid w:val="1C2C33AF"/>
    <w:rsid w:val="1C35495A"/>
    <w:rsid w:val="1C45352C"/>
    <w:rsid w:val="1C512E16"/>
    <w:rsid w:val="1C746B04"/>
    <w:rsid w:val="1C79317F"/>
    <w:rsid w:val="1C8F393E"/>
    <w:rsid w:val="1C907DE2"/>
    <w:rsid w:val="1C913B5A"/>
    <w:rsid w:val="1C9B02A5"/>
    <w:rsid w:val="1CA92C52"/>
    <w:rsid w:val="1CDD28FB"/>
    <w:rsid w:val="1CE912A0"/>
    <w:rsid w:val="1CF346E3"/>
    <w:rsid w:val="1D046798"/>
    <w:rsid w:val="1D49361B"/>
    <w:rsid w:val="1D4D4C12"/>
    <w:rsid w:val="1D4D5CD3"/>
    <w:rsid w:val="1D6979D9"/>
    <w:rsid w:val="1D70551D"/>
    <w:rsid w:val="1D7160DC"/>
    <w:rsid w:val="1D7166CD"/>
    <w:rsid w:val="1D781388"/>
    <w:rsid w:val="1D884F5D"/>
    <w:rsid w:val="1DA66342"/>
    <w:rsid w:val="1DA84C4A"/>
    <w:rsid w:val="1DB64F9B"/>
    <w:rsid w:val="1DC25772"/>
    <w:rsid w:val="1DCF0496"/>
    <w:rsid w:val="1DDC7057"/>
    <w:rsid w:val="1DEF28E6"/>
    <w:rsid w:val="1DF24C70"/>
    <w:rsid w:val="1E1918C8"/>
    <w:rsid w:val="1E2D606F"/>
    <w:rsid w:val="1E435F9C"/>
    <w:rsid w:val="1E4C1AE7"/>
    <w:rsid w:val="1E5037DD"/>
    <w:rsid w:val="1E636E30"/>
    <w:rsid w:val="1E8C282B"/>
    <w:rsid w:val="1E984D2C"/>
    <w:rsid w:val="1E9E13E6"/>
    <w:rsid w:val="1EAB0F03"/>
    <w:rsid w:val="1EC04283"/>
    <w:rsid w:val="1ED26847"/>
    <w:rsid w:val="1ED63AA6"/>
    <w:rsid w:val="1EED151B"/>
    <w:rsid w:val="1EEE2B9E"/>
    <w:rsid w:val="1F080A89"/>
    <w:rsid w:val="1F176598"/>
    <w:rsid w:val="1F1A7E37"/>
    <w:rsid w:val="1F211410"/>
    <w:rsid w:val="1F222D29"/>
    <w:rsid w:val="1F3B789A"/>
    <w:rsid w:val="1F41655B"/>
    <w:rsid w:val="1F4C145E"/>
    <w:rsid w:val="1F5275D0"/>
    <w:rsid w:val="1F7237CF"/>
    <w:rsid w:val="1F890B18"/>
    <w:rsid w:val="1F9A0F77"/>
    <w:rsid w:val="1FA37695"/>
    <w:rsid w:val="1FBE4C66"/>
    <w:rsid w:val="1FCE2663"/>
    <w:rsid w:val="1FD04999"/>
    <w:rsid w:val="1FD5582B"/>
    <w:rsid w:val="1FE35CB2"/>
    <w:rsid w:val="1FF71F26"/>
    <w:rsid w:val="200563F1"/>
    <w:rsid w:val="20344F28"/>
    <w:rsid w:val="204333BD"/>
    <w:rsid w:val="20482782"/>
    <w:rsid w:val="204D5FEA"/>
    <w:rsid w:val="205D447F"/>
    <w:rsid w:val="206C46C2"/>
    <w:rsid w:val="207140DC"/>
    <w:rsid w:val="2080016D"/>
    <w:rsid w:val="208E4638"/>
    <w:rsid w:val="2091237A"/>
    <w:rsid w:val="20987265"/>
    <w:rsid w:val="20A91472"/>
    <w:rsid w:val="20B07BF0"/>
    <w:rsid w:val="20DB35F6"/>
    <w:rsid w:val="20DD111C"/>
    <w:rsid w:val="20EE6A13"/>
    <w:rsid w:val="20F14BC7"/>
    <w:rsid w:val="21171D51"/>
    <w:rsid w:val="211A411E"/>
    <w:rsid w:val="213276BA"/>
    <w:rsid w:val="21336655"/>
    <w:rsid w:val="213D7E0C"/>
    <w:rsid w:val="214D40AF"/>
    <w:rsid w:val="21750BA0"/>
    <w:rsid w:val="21815D0A"/>
    <w:rsid w:val="218D48F0"/>
    <w:rsid w:val="219C0FD7"/>
    <w:rsid w:val="21B069DD"/>
    <w:rsid w:val="21C85928"/>
    <w:rsid w:val="21DF0EC4"/>
    <w:rsid w:val="21F67990"/>
    <w:rsid w:val="21FB3F4F"/>
    <w:rsid w:val="220D2D23"/>
    <w:rsid w:val="220D5A31"/>
    <w:rsid w:val="222223AA"/>
    <w:rsid w:val="22227687"/>
    <w:rsid w:val="223F4E70"/>
    <w:rsid w:val="22482F0D"/>
    <w:rsid w:val="224A0A33"/>
    <w:rsid w:val="224D0523"/>
    <w:rsid w:val="225639C9"/>
    <w:rsid w:val="22614F3C"/>
    <w:rsid w:val="227B5090"/>
    <w:rsid w:val="229972C4"/>
    <w:rsid w:val="229A37A4"/>
    <w:rsid w:val="22A00653"/>
    <w:rsid w:val="22A24272"/>
    <w:rsid w:val="22B20386"/>
    <w:rsid w:val="22E2743E"/>
    <w:rsid w:val="22EE7610"/>
    <w:rsid w:val="22F64717"/>
    <w:rsid w:val="22FD7853"/>
    <w:rsid w:val="230A054B"/>
    <w:rsid w:val="23151418"/>
    <w:rsid w:val="23166B67"/>
    <w:rsid w:val="231B23CF"/>
    <w:rsid w:val="233F2A5E"/>
    <w:rsid w:val="234731C4"/>
    <w:rsid w:val="23476D20"/>
    <w:rsid w:val="235B7B07"/>
    <w:rsid w:val="23843AD1"/>
    <w:rsid w:val="23AE55BC"/>
    <w:rsid w:val="23DA5DE6"/>
    <w:rsid w:val="23E66539"/>
    <w:rsid w:val="23EA427B"/>
    <w:rsid w:val="23F0560A"/>
    <w:rsid w:val="23F55B66"/>
    <w:rsid w:val="23F724F4"/>
    <w:rsid w:val="24172B97"/>
    <w:rsid w:val="24284DA4"/>
    <w:rsid w:val="24374FE7"/>
    <w:rsid w:val="245E2574"/>
    <w:rsid w:val="246102B6"/>
    <w:rsid w:val="246E3DB3"/>
    <w:rsid w:val="24712DF5"/>
    <w:rsid w:val="24763D61"/>
    <w:rsid w:val="247E2C16"/>
    <w:rsid w:val="24831F80"/>
    <w:rsid w:val="248875F1"/>
    <w:rsid w:val="249935AC"/>
    <w:rsid w:val="249A74E6"/>
    <w:rsid w:val="24AE7C47"/>
    <w:rsid w:val="24B403E6"/>
    <w:rsid w:val="24BB1774"/>
    <w:rsid w:val="24BB3676"/>
    <w:rsid w:val="24BE55DE"/>
    <w:rsid w:val="24C84F99"/>
    <w:rsid w:val="24D32F62"/>
    <w:rsid w:val="24DD793C"/>
    <w:rsid w:val="24F133E8"/>
    <w:rsid w:val="24F353B2"/>
    <w:rsid w:val="25002D7C"/>
    <w:rsid w:val="250A239A"/>
    <w:rsid w:val="250E5D48"/>
    <w:rsid w:val="251516C0"/>
    <w:rsid w:val="25166455"/>
    <w:rsid w:val="251E1D03"/>
    <w:rsid w:val="25214A81"/>
    <w:rsid w:val="252217F3"/>
    <w:rsid w:val="252B4B4C"/>
    <w:rsid w:val="253D4222"/>
    <w:rsid w:val="255900BA"/>
    <w:rsid w:val="256B0A86"/>
    <w:rsid w:val="258204E4"/>
    <w:rsid w:val="258A1146"/>
    <w:rsid w:val="25987D07"/>
    <w:rsid w:val="259A582D"/>
    <w:rsid w:val="25A246E2"/>
    <w:rsid w:val="25CB3C39"/>
    <w:rsid w:val="25D32AED"/>
    <w:rsid w:val="25D832ED"/>
    <w:rsid w:val="25F018F1"/>
    <w:rsid w:val="25FD1756"/>
    <w:rsid w:val="26041B76"/>
    <w:rsid w:val="2605432E"/>
    <w:rsid w:val="2610694C"/>
    <w:rsid w:val="26170C2C"/>
    <w:rsid w:val="261C66B1"/>
    <w:rsid w:val="264A7253"/>
    <w:rsid w:val="267E514F"/>
    <w:rsid w:val="267F6DC4"/>
    <w:rsid w:val="2681079B"/>
    <w:rsid w:val="268A07BD"/>
    <w:rsid w:val="268A7650"/>
    <w:rsid w:val="269B7AAF"/>
    <w:rsid w:val="269F0C21"/>
    <w:rsid w:val="26B56DCF"/>
    <w:rsid w:val="26C07516"/>
    <w:rsid w:val="26C210FB"/>
    <w:rsid w:val="26DC08B6"/>
    <w:rsid w:val="26DD3360"/>
    <w:rsid w:val="26FE3B9A"/>
    <w:rsid w:val="270F5DA7"/>
    <w:rsid w:val="272E0129"/>
    <w:rsid w:val="27356DEA"/>
    <w:rsid w:val="273D1AD3"/>
    <w:rsid w:val="2743379E"/>
    <w:rsid w:val="276500BD"/>
    <w:rsid w:val="27714608"/>
    <w:rsid w:val="2772524E"/>
    <w:rsid w:val="27734588"/>
    <w:rsid w:val="278F0C96"/>
    <w:rsid w:val="27A73315"/>
    <w:rsid w:val="27AA0124"/>
    <w:rsid w:val="27B506FD"/>
    <w:rsid w:val="27B610FF"/>
    <w:rsid w:val="27C76682"/>
    <w:rsid w:val="27CE5E8F"/>
    <w:rsid w:val="27CE7A10"/>
    <w:rsid w:val="27DC77A2"/>
    <w:rsid w:val="27F21CAC"/>
    <w:rsid w:val="27FC27CF"/>
    <w:rsid w:val="280B47C0"/>
    <w:rsid w:val="280D411B"/>
    <w:rsid w:val="28163210"/>
    <w:rsid w:val="281F026C"/>
    <w:rsid w:val="28247680"/>
    <w:rsid w:val="28263A1C"/>
    <w:rsid w:val="282F2844"/>
    <w:rsid w:val="28321D4D"/>
    <w:rsid w:val="283756B5"/>
    <w:rsid w:val="28575C58"/>
    <w:rsid w:val="286C4793"/>
    <w:rsid w:val="287560DE"/>
    <w:rsid w:val="28814A83"/>
    <w:rsid w:val="28B97223"/>
    <w:rsid w:val="28C64B8B"/>
    <w:rsid w:val="28CA01D8"/>
    <w:rsid w:val="28E55011"/>
    <w:rsid w:val="28E82D54"/>
    <w:rsid w:val="28EC2844"/>
    <w:rsid w:val="28FF13EE"/>
    <w:rsid w:val="290A2CCA"/>
    <w:rsid w:val="291311F5"/>
    <w:rsid w:val="291458F7"/>
    <w:rsid w:val="2916341D"/>
    <w:rsid w:val="2920678A"/>
    <w:rsid w:val="29345F99"/>
    <w:rsid w:val="293665BC"/>
    <w:rsid w:val="2940493E"/>
    <w:rsid w:val="29451F54"/>
    <w:rsid w:val="294A1318"/>
    <w:rsid w:val="294E5677"/>
    <w:rsid w:val="295D729E"/>
    <w:rsid w:val="296C128F"/>
    <w:rsid w:val="29802F8C"/>
    <w:rsid w:val="299F78B6"/>
    <w:rsid w:val="29B03871"/>
    <w:rsid w:val="29D05CC2"/>
    <w:rsid w:val="29E74DB9"/>
    <w:rsid w:val="29E928DF"/>
    <w:rsid w:val="2A0B0AA8"/>
    <w:rsid w:val="2A107221"/>
    <w:rsid w:val="2A110088"/>
    <w:rsid w:val="2A1C5D7B"/>
    <w:rsid w:val="2A3A75DF"/>
    <w:rsid w:val="2A3B7DA2"/>
    <w:rsid w:val="2A3D2C2B"/>
    <w:rsid w:val="2A465F84"/>
    <w:rsid w:val="2A481CFC"/>
    <w:rsid w:val="2A4E308A"/>
    <w:rsid w:val="2A50295E"/>
    <w:rsid w:val="2A5774F7"/>
    <w:rsid w:val="2A5E151F"/>
    <w:rsid w:val="2ABA24CE"/>
    <w:rsid w:val="2ABC6246"/>
    <w:rsid w:val="2AC9098F"/>
    <w:rsid w:val="2AEC2D35"/>
    <w:rsid w:val="2B08765C"/>
    <w:rsid w:val="2B1E480B"/>
    <w:rsid w:val="2B4179EE"/>
    <w:rsid w:val="2B465CF5"/>
    <w:rsid w:val="2B4A1AA4"/>
    <w:rsid w:val="2B4D3342"/>
    <w:rsid w:val="2B5E72FD"/>
    <w:rsid w:val="2B66245D"/>
    <w:rsid w:val="2B88437A"/>
    <w:rsid w:val="2B8D4A10"/>
    <w:rsid w:val="2B8F50B4"/>
    <w:rsid w:val="2B9B0113"/>
    <w:rsid w:val="2BA05CA2"/>
    <w:rsid w:val="2BBB580F"/>
    <w:rsid w:val="2BCC24B9"/>
    <w:rsid w:val="2BCF6C90"/>
    <w:rsid w:val="2BD355F5"/>
    <w:rsid w:val="2BDC3E61"/>
    <w:rsid w:val="2BE21CDC"/>
    <w:rsid w:val="2BEC6CCB"/>
    <w:rsid w:val="2BFE0311"/>
    <w:rsid w:val="2C02237E"/>
    <w:rsid w:val="2C0A4D8F"/>
    <w:rsid w:val="2C1E01A0"/>
    <w:rsid w:val="2C26606D"/>
    <w:rsid w:val="2C35005E"/>
    <w:rsid w:val="2C3A5255"/>
    <w:rsid w:val="2C471B3F"/>
    <w:rsid w:val="2C5E2F93"/>
    <w:rsid w:val="2C722F0F"/>
    <w:rsid w:val="2C7833AA"/>
    <w:rsid w:val="2C7A69D1"/>
    <w:rsid w:val="2C884632"/>
    <w:rsid w:val="2C8A772A"/>
    <w:rsid w:val="2C8B4122"/>
    <w:rsid w:val="2C8D6781"/>
    <w:rsid w:val="2CB573F1"/>
    <w:rsid w:val="2CDE6264"/>
    <w:rsid w:val="2CE130DC"/>
    <w:rsid w:val="2CEC1C40"/>
    <w:rsid w:val="2CED6B8B"/>
    <w:rsid w:val="2CF13919"/>
    <w:rsid w:val="2D1063D5"/>
    <w:rsid w:val="2D1D774E"/>
    <w:rsid w:val="2D3C1AFC"/>
    <w:rsid w:val="2D41526F"/>
    <w:rsid w:val="2D4B38B1"/>
    <w:rsid w:val="2D5108E1"/>
    <w:rsid w:val="2D5E1836"/>
    <w:rsid w:val="2D7A03C5"/>
    <w:rsid w:val="2D971B87"/>
    <w:rsid w:val="2D984D48"/>
    <w:rsid w:val="2D986AF6"/>
    <w:rsid w:val="2DA27975"/>
    <w:rsid w:val="2DA448F5"/>
    <w:rsid w:val="2DA74F8B"/>
    <w:rsid w:val="2DAB7E62"/>
    <w:rsid w:val="2DB75076"/>
    <w:rsid w:val="2DC95FDD"/>
    <w:rsid w:val="2DD81C92"/>
    <w:rsid w:val="2DDF5A78"/>
    <w:rsid w:val="2DE4594B"/>
    <w:rsid w:val="2DEA3C22"/>
    <w:rsid w:val="2DFE0923"/>
    <w:rsid w:val="2E0028ED"/>
    <w:rsid w:val="2E0C1292"/>
    <w:rsid w:val="2E0E33B6"/>
    <w:rsid w:val="2E20089A"/>
    <w:rsid w:val="2E206AEC"/>
    <w:rsid w:val="2E210323"/>
    <w:rsid w:val="2E314855"/>
    <w:rsid w:val="2E3600BD"/>
    <w:rsid w:val="2E3C5781"/>
    <w:rsid w:val="2E456552"/>
    <w:rsid w:val="2E47051C"/>
    <w:rsid w:val="2E50117F"/>
    <w:rsid w:val="2E6452AD"/>
    <w:rsid w:val="2E6A04C0"/>
    <w:rsid w:val="2E6E3CFB"/>
    <w:rsid w:val="2E7B5F75"/>
    <w:rsid w:val="2EAE5EA6"/>
    <w:rsid w:val="2EDD1647"/>
    <w:rsid w:val="2EE144CD"/>
    <w:rsid w:val="2EF46511"/>
    <w:rsid w:val="2EF82764"/>
    <w:rsid w:val="2EFE3058"/>
    <w:rsid w:val="2F012479"/>
    <w:rsid w:val="2F0D661F"/>
    <w:rsid w:val="2F0E0479"/>
    <w:rsid w:val="2F2A296B"/>
    <w:rsid w:val="2F316182"/>
    <w:rsid w:val="2F4F58DB"/>
    <w:rsid w:val="2F6B14B4"/>
    <w:rsid w:val="2F7E3ACA"/>
    <w:rsid w:val="2F827A5E"/>
    <w:rsid w:val="2F8310E0"/>
    <w:rsid w:val="2F8A246F"/>
    <w:rsid w:val="2F947791"/>
    <w:rsid w:val="2F963509"/>
    <w:rsid w:val="2F9949A6"/>
    <w:rsid w:val="2FAC5E0F"/>
    <w:rsid w:val="2FB219C5"/>
    <w:rsid w:val="2FBE55AC"/>
    <w:rsid w:val="2FC735B6"/>
    <w:rsid w:val="2FD14541"/>
    <w:rsid w:val="2FE42CDE"/>
    <w:rsid w:val="30000983"/>
    <w:rsid w:val="302F5020"/>
    <w:rsid w:val="30330D58"/>
    <w:rsid w:val="3034687E"/>
    <w:rsid w:val="30371B31"/>
    <w:rsid w:val="304B6B71"/>
    <w:rsid w:val="304C4712"/>
    <w:rsid w:val="304D6EE1"/>
    <w:rsid w:val="30540CC4"/>
    <w:rsid w:val="30593677"/>
    <w:rsid w:val="30604B42"/>
    <w:rsid w:val="307551E0"/>
    <w:rsid w:val="307A6987"/>
    <w:rsid w:val="308B46F0"/>
    <w:rsid w:val="3093409E"/>
    <w:rsid w:val="30B17ECF"/>
    <w:rsid w:val="30B20761"/>
    <w:rsid w:val="30BA2575"/>
    <w:rsid w:val="30C70FBE"/>
    <w:rsid w:val="30CB0F91"/>
    <w:rsid w:val="30CE282F"/>
    <w:rsid w:val="30D140CD"/>
    <w:rsid w:val="30D37E45"/>
    <w:rsid w:val="30D613A0"/>
    <w:rsid w:val="30FD4EC2"/>
    <w:rsid w:val="310B3A83"/>
    <w:rsid w:val="3120277A"/>
    <w:rsid w:val="312863E3"/>
    <w:rsid w:val="313308E4"/>
    <w:rsid w:val="3140197F"/>
    <w:rsid w:val="31480833"/>
    <w:rsid w:val="314C75BB"/>
    <w:rsid w:val="31633A6D"/>
    <w:rsid w:val="31651042"/>
    <w:rsid w:val="31674612"/>
    <w:rsid w:val="316E7B6E"/>
    <w:rsid w:val="31752FDE"/>
    <w:rsid w:val="3177311C"/>
    <w:rsid w:val="31A35847"/>
    <w:rsid w:val="31AC2673"/>
    <w:rsid w:val="31DC0F7C"/>
    <w:rsid w:val="31EF5153"/>
    <w:rsid w:val="31EF67E2"/>
    <w:rsid w:val="31FA0957"/>
    <w:rsid w:val="320F0B96"/>
    <w:rsid w:val="321D3A6E"/>
    <w:rsid w:val="322070BA"/>
    <w:rsid w:val="32427031"/>
    <w:rsid w:val="32463124"/>
    <w:rsid w:val="325421CB"/>
    <w:rsid w:val="32582CF8"/>
    <w:rsid w:val="32622CBE"/>
    <w:rsid w:val="3266397B"/>
    <w:rsid w:val="326B46A5"/>
    <w:rsid w:val="32962B55"/>
    <w:rsid w:val="32994859"/>
    <w:rsid w:val="329B0E37"/>
    <w:rsid w:val="329B3363"/>
    <w:rsid w:val="329E241C"/>
    <w:rsid w:val="32A44F54"/>
    <w:rsid w:val="32A777DC"/>
    <w:rsid w:val="32B76E81"/>
    <w:rsid w:val="32B87886"/>
    <w:rsid w:val="32C2554C"/>
    <w:rsid w:val="32DF3932"/>
    <w:rsid w:val="32F26CA9"/>
    <w:rsid w:val="32F33DBC"/>
    <w:rsid w:val="32FC18D5"/>
    <w:rsid w:val="33087DBE"/>
    <w:rsid w:val="33093FF2"/>
    <w:rsid w:val="331309CD"/>
    <w:rsid w:val="331F3816"/>
    <w:rsid w:val="33261348"/>
    <w:rsid w:val="3349755B"/>
    <w:rsid w:val="334B0167"/>
    <w:rsid w:val="334B63B9"/>
    <w:rsid w:val="334D0383"/>
    <w:rsid w:val="33565A57"/>
    <w:rsid w:val="33591DDA"/>
    <w:rsid w:val="335C27F8"/>
    <w:rsid w:val="33633703"/>
    <w:rsid w:val="337E22EA"/>
    <w:rsid w:val="338302FF"/>
    <w:rsid w:val="33857292"/>
    <w:rsid w:val="339578F6"/>
    <w:rsid w:val="33A46E93"/>
    <w:rsid w:val="33C36048"/>
    <w:rsid w:val="33C75794"/>
    <w:rsid w:val="33D20888"/>
    <w:rsid w:val="33D77C4D"/>
    <w:rsid w:val="33DB4D01"/>
    <w:rsid w:val="33EB0AD0"/>
    <w:rsid w:val="340E6DF2"/>
    <w:rsid w:val="34192013"/>
    <w:rsid w:val="341D7D55"/>
    <w:rsid w:val="3422536C"/>
    <w:rsid w:val="34345A2C"/>
    <w:rsid w:val="34381C5E"/>
    <w:rsid w:val="343E2A55"/>
    <w:rsid w:val="347656B7"/>
    <w:rsid w:val="348B1120"/>
    <w:rsid w:val="348D48D0"/>
    <w:rsid w:val="348E29C7"/>
    <w:rsid w:val="349047F7"/>
    <w:rsid w:val="34AC10D9"/>
    <w:rsid w:val="34AC4388"/>
    <w:rsid w:val="34B22FF0"/>
    <w:rsid w:val="34B46493"/>
    <w:rsid w:val="34CC3529"/>
    <w:rsid w:val="34D35A9F"/>
    <w:rsid w:val="34DA3990"/>
    <w:rsid w:val="34F34F5A"/>
    <w:rsid w:val="3502519D"/>
    <w:rsid w:val="35156C7E"/>
    <w:rsid w:val="352275ED"/>
    <w:rsid w:val="35245113"/>
    <w:rsid w:val="3546484B"/>
    <w:rsid w:val="355359F9"/>
    <w:rsid w:val="355E2212"/>
    <w:rsid w:val="357E0CC8"/>
    <w:rsid w:val="358B0CEF"/>
    <w:rsid w:val="3590495C"/>
    <w:rsid w:val="359522EB"/>
    <w:rsid w:val="35A27EC6"/>
    <w:rsid w:val="35BB19C0"/>
    <w:rsid w:val="35C002C4"/>
    <w:rsid w:val="35C42453"/>
    <w:rsid w:val="35CB558F"/>
    <w:rsid w:val="35D2691D"/>
    <w:rsid w:val="35D42696"/>
    <w:rsid w:val="35D501BC"/>
    <w:rsid w:val="35DB7EC8"/>
    <w:rsid w:val="35E44B3A"/>
    <w:rsid w:val="35EE171D"/>
    <w:rsid w:val="35FA7C22"/>
    <w:rsid w:val="35FF5FD9"/>
    <w:rsid w:val="360208A7"/>
    <w:rsid w:val="36101BE0"/>
    <w:rsid w:val="361A5A2B"/>
    <w:rsid w:val="36297FEC"/>
    <w:rsid w:val="362B4280"/>
    <w:rsid w:val="36301896"/>
    <w:rsid w:val="3634782F"/>
    <w:rsid w:val="36421CF5"/>
    <w:rsid w:val="364618DA"/>
    <w:rsid w:val="36462E68"/>
    <w:rsid w:val="3664193A"/>
    <w:rsid w:val="36685B59"/>
    <w:rsid w:val="366C0E45"/>
    <w:rsid w:val="366F0610"/>
    <w:rsid w:val="367C15FD"/>
    <w:rsid w:val="368D6CE8"/>
    <w:rsid w:val="36C4095C"/>
    <w:rsid w:val="36C92D43"/>
    <w:rsid w:val="36D500B5"/>
    <w:rsid w:val="36E44B5A"/>
    <w:rsid w:val="36E602DD"/>
    <w:rsid w:val="36EE64CB"/>
    <w:rsid w:val="370055E2"/>
    <w:rsid w:val="37065840"/>
    <w:rsid w:val="371D1E1A"/>
    <w:rsid w:val="371D3482"/>
    <w:rsid w:val="371D5E6B"/>
    <w:rsid w:val="372313B1"/>
    <w:rsid w:val="37411FAD"/>
    <w:rsid w:val="374455F9"/>
    <w:rsid w:val="37490E61"/>
    <w:rsid w:val="374B1C54"/>
    <w:rsid w:val="375601B8"/>
    <w:rsid w:val="376932B2"/>
    <w:rsid w:val="377A54BF"/>
    <w:rsid w:val="378833DE"/>
    <w:rsid w:val="378974B0"/>
    <w:rsid w:val="37977C07"/>
    <w:rsid w:val="37CB7AC8"/>
    <w:rsid w:val="37CC52D1"/>
    <w:rsid w:val="37E128C3"/>
    <w:rsid w:val="37E343DF"/>
    <w:rsid w:val="37EC6610"/>
    <w:rsid w:val="37F324E9"/>
    <w:rsid w:val="380F26AF"/>
    <w:rsid w:val="381229FC"/>
    <w:rsid w:val="38201F82"/>
    <w:rsid w:val="38336DB9"/>
    <w:rsid w:val="3842549E"/>
    <w:rsid w:val="384E7D53"/>
    <w:rsid w:val="386A108F"/>
    <w:rsid w:val="387719FE"/>
    <w:rsid w:val="38852DC7"/>
    <w:rsid w:val="388A28D7"/>
    <w:rsid w:val="389205E6"/>
    <w:rsid w:val="38A81BB8"/>
    <w:rsid w:val="38A84119"/>
    <w:rsid w:val="38B60778"/>
    <w:rsid w:val="38BF587F"/>
    <w:rsid w:val="38CA4224"/>
    <w:rsid w:val="38CF1D54"/>
    <w:rsid w:val="38D35896"/>
    <w:rsid w:val="38E70932"/>
    <w:rsid w:val="38E86810"/>
    <w:rsid w:val="38EB2F94"/>
    <w:rsid w:val="38ED746E"/>
    <w:rsid w:val="38F54312"/>
    <w:rsid w:val="39001DF2"/>
    <w:rsid w:val="391074A4"/>
    <w:rsid w:val="3914585B"/>
    <w:rsid w:val="391F631E"/>
    <w:rsid w:val="39273424"/>
    <w:rsid w:val="392D6043"/>
    <w:rsid w:val="392E0C06"/>
    <w:rsid w:val="39385333"/>
    <w:rsid w:val="39424B74"/>
    <w:rsid w:val="39777F08"/>
    <w:rsid w:val="3979313A"/>
    <w:rsid w:val="39807457"/>
    <w:rsid w:val="39932868"/>
    <w:rsid w:val="399A33E8"/>
    <w:rsid w:val="399F745E"/>
    <w:rsid w:val="39A162AC"/>
    <w:rsid w:val="39B100EE"/>
    <w:rsid w:val="39B4745E"/>
    <w:rsid w:val="39B90520"/>
    <w:rsid w:val="39BF540B"/>
    <w:rsid w:val="39C918D0"/>
    <w:rsid w:val="39CF48CB"/>
    <w:rsid w:val="39D32C64"/>
    <w:rsid w:val="39D4535A"/>
    <w:rsid w:val="39E12E4C"/>
    <w:rsid w:val="39E66E3B"/>
    <w:rsid w:val="39E82BB3"/>
    <w:rsid w:val="39ED01CA"/>
    <w:rsid w:val="39F01A68"/>
    <w:rsid w:val="39FE5795"/>
    <w:rsid w:val="3A064DE8"/>
    <w:rsid w:val="3A1439A9"/>
    <w:rsid w:val="3A2A31CC"/>
    <w:rsid w:val="3A334E5D"/>
    <w:rsid w:val="3A7262AF"/>
    <w:rsid w:val="3A7563BD"/>
    <w:rsid w:val="3A7C6B1B"/>
    <w:rsid w:val="3A8E336A"/>
    <w:rsid w:val="3A9F5C5A"/>
    <w:rsid w:val="3AA23AC4"/>
    <w:rsid w:val="3ABE3914"/>
    <w:rsid w:val="3ACF5B21"/>
    <w:rsid w:val="3AD1189A"/>
    <w:rsid w:val="3AD13648"/>
    <w:rsid w:val="3ADB2718"/>
    <w:rsid w:val="3AF631F5"/>
    <w:rsid w:val="3B021A53"/>
    <w:rsid w:val="3B091033"/>
    <w:rsid w:val="3B097226"/>
    <w:rsid w:val="3B0F5F1E"/>
    <w:rsid w:val="3B152F92"/>
    <w:rsid w:val="3B2D7EE7"/>
    <w:rsid w:val="3B2F47C1"/>
    <w:rsid w:val="3B312338"/>
    <w:rsid w:val="3B3B0A01"/>
    <w:rsid w:val="3B3B4F65"/>
    <w:rsid w:val="3B3D2A8B"/>
    <w:rsid w:val="3B47390A"/>
    <w:rsid w:val="3B4C7172"/>
    <w:rsid w:val="3B5618BA"/>
    <w:rsid w:val="3B561D9F"/>
    <w:rsid w:val="3B6E7AE7"/>
    <w:rsid w:val="3BA71957"/>
    <w:rsid w:val="3BB01B36"/>
    <w:rsid w:val="3BB6021E"/>
    <w:rsid w:val="3BC9431F"/>
    <w:rsid w:val="3BD31641"/>
    <w:rsid w:val="3BD333EF"/>
    <w:rsid w:val="3BD64B58"/>
    <w:rsid w:val="3BD94167"/>
    <w:rsid w:val="3BE16727"/>
    <w:rsid w:val="3BE253E0"/>
    <w:rsid w:val="3BEB24E7"/>
    <w:rsid w:val="3C105B20"/>
    <w:rsid w:val="3C1557B6"/>
    <w:rsid w:val="3C1D466B"/>
    <w:rsid w:val="3C520F67"/>
    <w:rsid w:val="3C553E04"/>
    <w:rsid w:val="3C6504EB"/>
    <w:rsid w:val="3C6A6406"/>
    <w:rsid w:val="3C7544A7"/>
    <w:rsid w:val="3C7C5835"/>
    <w:rsid w:val="3C7F0E81"/>
    <w:rsid w:val="3C805325"/>
    <w:rsid w:val="3C85293C"/>
    <w:rsid w:val="3C8676F4"/>
    <w:rsid w:val="3C88242C"/>
    <w:rsid w:val="3C925059"/>
    <w:rsid w:val="3C9355F9"/>
    <w:rsid w:val="3C997383"/>
    <w:rsid w:val="3CA371C7"/>
    <w:rsid w:val="3CAE0392"/>
    <w:rsid w:val="3CB054DF"/>
    <w:rsid w:val="3CB23005"/>
    <w:rsid w:val="3CCC0A6E"/>
    <w:rsid w:val="3CD63197"/>
    <w:rsid w:val="3CEA26B3"/>
    <w:rsid w:val="3CEA6C43"/>
    <w:rsid w:val="3D197528"/>
    <w:rsid w:val="3D1A7AF8"/>
    <w:rsid w:val="3D2263DC"/>
    <w:rsid w:val="3D2A7B7D"/>
    <w:rsid w:val="3D371873"/>
    <w:rsid w:val="3D4F4CF8"/>
    <w:rsid w:val="3D5751DB"/>
    <w:rsid w:val="3D6A7D83"/>
    <w:rsid w:val="3D7D7AB7"/>
    <w:rsid w:val="3D8E0E1C"/>
    <w:rsid w:val="3D913562"/>
    <w:rsid w:val="3D967A29"/>
    <w:rsid w:val="3D9A6A5F"/>
    <w:rsid w:val="3DA70690"/>
    <w:rsid w:val="3DBD51AC"/>
    <w:rsid w:val="3DD41776"/>
    <w:rsid w:val="3DD75419"/>
    <w:rsid w:val="3DE10046"/>
    <w:rsid w:val="3DE37306"/>
    <w:rsid w:val="3DE6565C"/>
    <w:rsid w:val="3DF17B5D"/>
    <w:rsid w:val="3DFB6F0D"/>
    <w:rsid w:val="3E112B03"/>
    <w:rsid w:val="3E1C2E2C"/>
    <w:rsid w:val="3E2B12C1"/>
    <w:rsid w:val="3E2E2B5F"/>
    <w:rsid w:val="3E52684D"/>
    <w:rsid w:val="3E5E18CB"/>
    <w:rsid w:val="3E751DF1"/>
    <w:rsid w:val="3E865B69"/>
    <w:rsid w:val="3E924B09"/>
    <w:rsid w:val="3E9A6446"/>
    <w:rsid w:val="3E9C21BE"/>
    <w:rsid w:val="3EAB0654"/>
    <w:rsid w:val="3EB56DDC"/>
    <w:rsid w:val="3EBD2455"/>
    <w:rsid w:val="3EBF7C5B"/>
    <w:rsid w:val="3ECC1EF6"/>
    <w:rsid w:val="3EE80F60"/>
    <w:rsid w:val="3EE84038"/>
    <w:rsid w:val="3EEC522C"/>
    <w:rsid w:val="3EED47C8"/>
    <w:rsid w:val="3EEF6792"/>
    <w:rsid w:val="3EFF4E05"/>
    <w:rsid w:val="3F297CFD"/>
    <w:rsid w:val="3F475C17"/>
    <w:rsid w:val="3F4A5777"/>
    <w:rsid w:val="3F4F5483"/>
    <w:rsid w:val="3F516B05"/>
    <w:rsid w:val="3F632CDC"/>
    <w:rsid w:val="3F76656C"/>
    <w:rsid w:val="3F7C275B"/>
    <w:rsid w:val="3F966C0E"/>
    <w:rsid w:val="3F9878B7"/>
    <w:rsid w:val="3FC512A1"/>
    <w:rsid w:val="3FD140EA"/>
    <w:rsid w:val="3FD5617F"/>
    <w:rsid w:val="3FE0432D"/>
    <w:rsid w:val="3FE136E3"/>
    <w:rsid w:val="3FE4169F"/>
    <w:rsid w:val="3FFA719D"/>
    <w:rsid w:val="40041D9C"/>
    <w:rsid w:val="401B6F39"/>
    <w:rsid w:val="402204A1"/>
    <w:rsid w:val="40284794"/>
    <w:rsid w:val="4035742B"/>
    <w:rsid w:val="40407B59"/>
    <w:rsid w:val="404A2BAC"/>
    <w:rsid w:val="407B6910"/>
    <w:rsid w:val="408214B8"/>
    <w:rsid w:val="40833636"/>
    <w:rsid w:val="40907B01"/>
    <w:rsid w:val="40953369"/>
    <w:rsid w:val="409F2385"/>
    <w:rsid w:val="40B34FA3"/>
    <w:rsid w:val="40B90E06"/>
    <w:rsid w:val="40F40090"/>
    <w:rsid w:val="40FA4F7A"/>
    <w:rsid w:val="40FE0F0E"/>
    <w:rsid w:val="4100472E"/>
    <w:rsid w:val="410C0680"/>
    <w:rsid w:val="41197AF6"/>
    <w:rsid w:val="411F1165"/>
    <w:rsid w:val="41432DC5"/>
    <w:rsid w:val="41483F38"/>
    <w:rsid w:val="415A332C"/>
    <w:rsid w:val="41642F23"/>
    <w:rsid w:val="41874A60"/>
    <w:rsid w:val="418D4040"/>
    <w:rsid w:val="41A41BF8"/>
    <w:rsid w:val="41A61108"/>
    <w:rsid w:val="41A96E81"/>
    <w:rsid w:val="41B47B40"/>
    <w:rsid w:val="41B82E6B"/>
    <w:rsid w:val="41BD2B78"/>
    <w:rsid w:val="41D32B4F"/>
    <w:rsid w:val="41DD0220"/>
    <w:rsid w:val="41E225DE"/>
    <w:rsid w:val="41FE1E71"/>
    <w:rsid w:val="42097B6B"/>
    <w:rsid w:val="420F003F"/>
    <w:rsid w:val="421A1D78"/>
    <w:rsid w:val="422E137F"/>
    <w:rsid w:val="422E75D1"/>
    <w:rsid w:val="42507548"/>
    <w:rsid w:val="426E79CE"/>
    <w:rsid w:val="427174BE"/>
    <w:rsid w:val="427263C7"/>
    <w:rsid w:val="42770F78"/>
    <w:rsid w:val="42A86A79"/>
    <w:rsid w:val="42AE426E"/>
    <w:rsid w:val="42B86E9B"/>
    <w:rsid w:val="42BE0955"/>
    <w:rsid w:val="42CF7BA4"/>
    <w:rsid w:val="42E14644"/>
    <w:rsid w:val="42E236F5"/>
    <w:rsid w:val="42ED62D3"/>
    <w:rsid w:val="42ED757D"/>
    <w:rsid w:val="42F337AA"/>
    <w:rsid w:val="42FE7CB6"/>
    <w:rsid w:val="430A1E0F"/>
    <w:rsid w:val="430D5D3C"/>
    <w:rsid w:val="43104F29"/>
    <w:rsid w:val="4315434D"/>
    <w:rsid w:val="43413334"/>
    <w:rsid w:val="43505326"/>
    <w:rsid w:val="43527EF3"/>
    <w:rsid w:val="43563C6E"/>
    <w:rsid w:val="4364087F"/>
    <w:rsid w:val="438F22F2"/>
    <w:rsid w:val="4392593E"/>
    <w:rsid w:val="43A062AD"/>
    <w:rsid w:val="43A4686F"/>
    <w:rsid w:val="43AA712C"/>
    <w:rsid w:val="43AD12F0"/>
    <w:rsid w:val="43AD4526"/>
    <w:rsid w:val="43AF029E"/>
    <w:rsid w:val="43C26D95"/>
    <w:rsid w:val="43CF26EE"/>
    <w:rsid w:val="43EE000A"/>
    <w:rsid w:val="44000AFA"/>
    <w:rsid w:val="44004F9E"/>
    <w:rsid w:val="440E7AB1"/>
    <w:rsid w:val="441A7E0D"/>
    <w:rsid w:val="44205EE9"/>
    <w:rsid w:val="44232053"/>
    <w:rsid w:val="442A5B77"/>
    <w:rsid w:val="442C2BFD"/>
    <w:rsid w:val="443133A9"/>
    <w:rsid w:val="4456696C"/>
    <w:rsid w:val="447070F7"/>
    <w:rsid w:val="44784B34"/>
    <w:rsid w:val="447E2FB1"/>
    <w:rsid w:val="4493196E"/>
    <w:rsid w:val="44B46A01"/>
    <w:rsid w:val="44B71B00"/>
    <w:rsid w:val="44BA15F0"/>
    <w:rsid w:val="44D0697F"/>
    <w:rsid w:val="44F51AA1"/>
    <w:rsid w:val="44F85C75"/>
    <w:rsid w:val="45124F88"/>
    <w:rsid w:val="451756C7"/>
    <w:rsid w:val="45237196"/>
    <w:rsid w:val="45264590"/>
    <w:rsid w:val="45637458"/>
    <w:rsid w:val="4574179F"/>
    <w:rsid w:val="4588349D"/>
    <w:rsid w:val="458D0AB3"/>
    <w:rsid w:val="458D3633"/>
    <w:rsid w:val="45933B89"/>
    <w:rsid w:val="45991206"/>
    <w:rsid w:val="459C565C"/>
    <w:rsid w:val="45D4223E"/>
    <w:rsid w:val="45DD3306"/>
    <w:rsid w:val="45E27675"/>
    <w:rsid w:val="45E32481"/>
    <w:rsid w:val="45EC57D9"/>
    <w:rsid w:val="461868E3"/>
    <w:rsid w:val="461A7F93"/>
    <w:rsid w:val="462211FB"/>
    <w:rsid w:val="463D02E0"/>
    <w:rsid w:val="46400BBF"/>
    <w:rsid w:val="46441765"/>
    <w:rsid w:val="46460CF9"/>
    <w:rsid w:val="46463B7A"/>
    <w:rsid w:val="466726B7"/>
    <w:rsid w:val="466F11C7"/>
    <w:rsid w:val="467001B9"/>
    <w:rsid w:val="4670640B"/>
    <w:rsid w:val="467A2DE5"/>
    <w:rsid w:val="468D39EA"/>
    <w:rsid w:val="46A55988"/>
    <w:rsid w:val="46AD7810"/>
    <w:rsid w:val="46CF36A7"/>
    <w:rsid w:val="46EF2E80"/>
    <w:rsid w:val="46F15E80"/>
    <w:rsid w:val="46F32B98"/>
    <w:rsid w:val="47017063"/>
    <w:rsid w:val="4707219F"/>
    <w:rsid w:val="470D3C59"/>
    <w:rsid w:val="47123CE1"/>
    <w:rsid w:val="471A0124"/>
    <w:rsid w:val="47213261"/>
    <w:rsid w:val="472307F4"/>
    <w:rsid w:val="47264D1B"/>
    <w:rsid w:val="472C23A2"/>
    <w:rsid w:val="474B6FAD"/>
    <w:rsid w:val="474F3279"/>
    <w:rsid w:val="47543E89"/>
    <w:rsid w:val="47615D53"/>
    <w:rsid w:val="47637D1D"/>
    <w:rsid w:val="476F3C10"/>
    <w:rsid w:val="477C090E"/>
    <w:rsid w:val="478A7058"/>
    <w:rsid w:val="478F466E"/>
    <w:rsid w:val="479F062A"/>
    <w:rsid w:val="47A3636C"/>
    <w:rsid w:val="47BB76C5"/>
    <w:rsid w:val="47BC11DC"/>
    <w:rsid w:val="47C86855"/>
    <w:rsid w:val="47CA06B4"/>
    <w:rsid w:val="47E60DC9"/>
    <w:rsid w:val="47E82066"/>
    <w:rsid w:val="47EA7AF7"/>
    <w:rsid w:val="47EE66D8"/>
    <w:rsid w:val="48001F45"/>
    <w:rsid w:val="480F17F3"/>
    <w:rsid w:val="481639B1"/>
    <w:rsid w:val="481C5974"/>
    <w:rsid w:val="483B3667"/>
    <w:rsid w:val="48474B8F"/>
    <w:rsid w:val="48482A6F"/>
    <w:rsid w:val="484D0DB1"/>
    <w:rsid w:val="484E5E5B"/>
    <w:rsid w:val="485222E4"/>
    <w:rsid w:val="48561790"/>
    <w:rsid w:val="485C3F8A"/>
    <w:rsid w:val="486A0C38"/>
    <w:rsid w:val="486A4047"/>
    <w:rsid w:val="486F1DBE"/>
    <w:rsid w:val="487D6BBD"/>
    <w:rsid w:val="48831CF9"/>
    <w:rsid w:val="489363E0"/>
    <w:rsid w:val="48945CB4"/>
    <w:rsid w:val="48994F7D"/>
    <w:rsid w:val="48996942"/>
    <w:rsid w:val="48BC0576"/>
    <w:rsid w:val="48BC5937"/>
    <w:rsid w:val="48D6283F"/>
    <w:rsid w:val="48F84495"/>
    <w:rsid w:val="48FD1B93"/>
    <w:rsid w:val="49042E3A"/>
    <w:rsid w:val="4908149D"/>
    <w:rsid w:val="492928A1"/>
    <w:rsid w:val="492D2391"/>
    <w:rsid w:val="49376B8A"/>
    <w:rsid w:val="493A4AAE"/>
    <w:rsid w:val="49492F43"/>
    <w:rsid w:val="49495B74"/>
    <w:rsid w:val="494B2817"/>
    <w:rsid w:val="49724248"/>
    <w:rsid w:val="497955D6"/>
    <w:rsid w:val="49836455"/>
    <w:rsid w:val="49912347"/>
    <w:rsid w:val="49945CF4"/>
    <w:rsid w:val="49B02FC2"/>
    <w:rsid w:val="49B06B1E"/>
    <w:rsid w:val="49B22896"/>
    <w:rsid w:val="49B83FC7"/>
    <w:rsid w:val="49BB5BEF"/>
    <w:rsid w:val="49D722FD"/>
    <w:rsid w:val="49D84A41"/>
    <w:rsid w:val="49FB423D"/>
    <w:rsid w:val="4A0B1FA6"/>
    <w:rsid w:val="4A0F5F3A"/>
    <w:rsid w:val="4A2C089A"/>
    <w:rsid w:val="4A4D67E0"/>
    <w:rsid w:val="4A5B4FE6"/>
    <w:rsid w:val="4A67100A"/>
    <w:rsid w:val="4A6C513B"/>
    <w:rsid w:val="4A7706DB"/>
    <w:rsid w:val="4A872075"/>
    <w:rsid w:val="4A873D23"/>
    <w:rsid w:val="4A895CED"/>
    <w:rsid w:val="4A8E3303"/>
    <w:rsid w:val="4A9A1CA8"/>
    <w:rsid w:val="4AB443EC"/>
    <w:rsid w:val="4ABB39CC"/>
    <w:rsid w:val="4ADA20A4"/>
    <w:rsid w:val="4AEE3DA2"/>
    <w:rsid w:val="4AF55130"/>
    <w:rsid w:val="4AF64A04"/>
    <w:rsid w:val="4AFF5FAF"/>
    <w:rsid w:val="4B027E16"/>
    <w:rsid w:val="4B044CB6"/>
    <w:rsid w:val="4B1530DD"/>
    <w:rsid w:val="4B164249"/>
    <w:rsid w:val="4B1F21AD"/>
    <w:rsid w:val="4B260643"/>
    <w:rsid w:val="4B372446"/>
    <w:rsid w:val="4B49330A"/>
    <w:rsid w:val="4B5F25AA"/>
    <w:rsid w:val="4B6127C6"/>
    <w:rsid w:val="4B6244A2"/>
    <w:rsid w:val="4B906020"/>
    <w:rsid w:val="4B906C07"/>
    <w:rsid w:val="4B977D64"/>
    <w:rsid w:val="4BA601D9"/>
    <w:rsid w:val="4BA803F5"/>
    <w:rsid w:val="4BAB57EF"/>
    <w:rsid w:val="4BB02844"/>
    <w:rsid w:val="4BCF29E0"/>
    <w:rsid w:val="4BCF5981"/>
    <w:rsid w:val="4BDE0179"/>
    <w:rsid w:val="4BF85DFC"/>
    <w:rsid w:val="4C0A0767"/>
    <w:rsid w:val="4C1E06B7"/>
    <w:rsid w:val="4C26206A"/>
    <w:rsid w:val="4C6017D9"/>
    <w:rsid w:val="4C6D3099"/>
    <w:rsid w:val="4C79769B"/>
    <w:rsid w:val="4C9646F1"/>
    <w:rsid w:val="4C975D73"/>
    <w:rsid w:val="4C982217"/>
    <w:rsid w:val="4CA74208"/>
    <w:rsid w:val="4CB44B77"/>
    <w:rsid w:val="4CD62D3F"/>
    <w:rsid w:val="4CE70AA9"/>
    <w:rsid w:val="4CEC7EAC"/>
    <w:rsid w:val="4D027691"/>
    <w:rsid w:val="4D1D44CA"/>
    <w:rsid w:val="4D32473B"/>
    <w:rsid w:val="4D381304"/>
    <w:rsid w:val="4D4D047C"/>
    <w:rsid w:val="4D5379FD"/>
    <w:rsid w:val="4D6A7D0F"/>
    <w:rsid w:val="4D6D36A4"/>
    <w:rsid w:val="4D77007F"/>
    <w:rsid w:val="4D824A84"/>
    <w:rsid w:val="4D8409ED"/>
    <w:rsid w:val="4D9D2CC9"/>
    <w:rsid w:val="4DA4699A"/>
    <w:rsid w:val="4DA852E7"/>
    <w:rsid w:val="4DB620E7"/>
    <w:rsid w:val="4DC94652"/>
    <w:rsid w:val="4DD74FC1"/>
    <w:rsid w:val="4DE35714"/>
    <w:rsid w:val="4E003C1F"/>
    <w:rsid w:val="4E035DB6"/>
    <w:rsid w:val="4E34737C"/>
    <w:rsid w:val="4E347D1E"/>
    <w:rsid w:val="4E390459"/>
    <w:rsid w:val="4E3B72FE"/>
    <w:rsid w:val="4E4151FC"/>
    <w:rsid w:val="4E43575C"/>
    <w:rsid w:val="4E500F98"/>
    <w:rsid w:val="4E525304"/>
    <w:rsid w:val="4E572491"/>
    <w:rsid w:val="4E84518D"/>
    <w:rsid w:val="4EA76741"/>
    <w:rsid w:val="4EAA4484"/>
    <w:rsid w:val="4EAD5D22"/>
    <w:rsid w:val="4EC54E1A"/>
    <w:rsid w:val="4ED10F45"/>
    <w:rsid w:val="4ED1211D"/>
    <w:rsid w:val="4ED27537"/>
    <w:rsid w:val="4ED4505D"/>
    <w:rsid w:val="4EE17F37"/>
    <w:rsid w:val="4EFF657E"/>
    <w:rsid w:val="4F043D9E"/>
    <w:rsid w:val="4F081DBA"/>
    <w:rsid w:val="4F192C4D"/>
    <w:rsid w:val="4F29127F"/>
    <w:rsid w:val="4F2C30EB"/>
    <w:rsid w:val="4F351F9F"/>
    <w:rsid w:val="4F376B26"/>
    <w:rsid w:val="4F5B3603"/>
    <w:rsid w:val="4F6176BF"/>
    <w:rsid w:val="4F675ED1"/>
    <w:rsid w:val="4F6B3C13"/>
    <w:rsid w:val="4F731B37"/>
    <w:rsid w:val="4F7C1C4E"/>
    <w:rsid w:val="4F7D74A2"/>
    <w:rsid w:val="4F8005F3"/>
    <w:rsid w:val="4F980780"/>
    <w:rsid w:val="4F9F566B"/>
    <w:rsid w:val="4FB40E6B"/>
    <w:rsid w:val="4FD55530"/>
    <w:rsid w:val="4FD6416C"/>
    <w:rsid w:val="4FE44618"/>
    <w:rsid w:val="4FE614EB"/>
    <w:rsid w:val="4FF97471"/>
    <w:rsid w:val="4FFC486B"/>
    <w:rsid w:val="4FFE4547"/>
    <w:rsid w:val="500100D3"/>
    <w:rsid w:val="500879CF"/>
    <w:rsid w:val="501222E0"/>
    <w:rsid w:val="50151DD1"/>
    <w:rsid w:val="50334005"/>
    <w:rsid w:val="50334BF7"/>
    <w:rsid w:val="503C55AF"/>
    <w:rsid w:val="50421D9C"/>
    <w:rsid w:val="50424731"/>
    <w:rsid w:val="504F0E3F"/>
    <w:rsid w:val="504F52E3"/>
    <w:rsid w:val="50647638"/>
    <w:rsid w:val="506B7C43"/>
    <w:rsid w:val="50715259"/>
    <w:rsid w:val="5079410E"/>
    <w:rsid w:val="507F724A"/>
    <w:rsid w:val="50843944"/>
    <w:rsid w:val="509C604E"/>
    <w:rsid w:val="509E73CD"/>
    <w:rsid w:val="50AB321F"/>
    <w:rsid w:val="50BB4726"/>
    <w:rsid w:val="50CA660C"/>
    <w:rsid w:val="50CB6A87"/>
    <w:rsid w:val="50D150C6"/>
    <w:rsid w:val="50E05F3B"/>
    <w:rsid w:val="50E53551"/>
    <w:rsid w:val="51025EB1"/>
    <w:rsid w:val="51073791"/>
    <w:rsid w:val="51165E00"/>
    <w:rsid w:val="512322CB"/>
    <w:rsid w:val="512E314A"/>
    <w:rsid w:val="513D15DF"/>
    <w:rsid w:val="5140171A"/>
    <w:rsid w:val="515D758B"/>
    <w:rsid w:val="51861D6F"/>
    <w:rsid w:val="51890380"/>
    <w:rsid w:val="51894824"/>
    <w:rsid w:val="5196078D"/>
    <w:rsid w:val="51DB0FC0"/>
    <w:rsid w:val="51F223CA"/>
    <w:rsid w:val="52016370"/>
    <w:rsid w:val="521C20D8"/>
    <w:rsid w:val="523342A0"/>
    <w:rsid w:val="525615E0"/>
    <w:rsid w:val="526112FD"/>
    <w:rsid w:val="52636E23"/>
    <w:rsid w:val="52804C6C"/>
    <w:rsid w:val="52913D67"/>
    <w:rsid w:val="52964527"/>
    <w:rsid w:val="5296650F"/>
    <w:rsid w:val="52A126FB"/>
    <w:rsid w:val="52A15B9E"/>
    <w:rsid w:val="52A4453E"/>
    <w:rsid w:val="52AD4542"/>
    <w:rsid w:val="52BE405A"/>
    <w:rsid w:val="52C65702"/>
    <w:rsid w:val="52E61294"/>
    <w:rsid w:val="52F742C9"/>
    <w:rsid w:val="530F2B07"/>
    <w:rsid w:val="531B0AB3"/>
    <w:rsid w:val="532A0CDB"/>
    <w:rsid w:val="532D11DF"/>
    <w:rsid w:val="532E5683"/>
    <w:rsid w:val="532F007B"/>
    <w:rsid w:val="533B7DA0"/>
    <w:rsid w:val="534649FF"/>
    <w:rsid w:val="534722A1"/>
    <w:rsid w:val="536401DB"/>
    <w:rsid w:val="537A6AA1"/>
    <w:rsid w:val="537B604E"/>
    <w:rsid w:val="53980D4F"/>
    <w:rsid w:val="539D6365"/>
    <w:rsid w:val="539F20DD"/>
    <w:rsid w:val="53A07C03"/>
    <w:rsid w:val="53A652B1"/>
    <w:rsid w:val="53AC671B"/>
    <w:rsid w:val="53B10062"/>
    <w:rsid w:val="53C94501"/>
    <w:rsid w:val="540128DA"/>
    <w:rsid w:val="540E2DBF"/>
    <w:rsid w:val="54192FEF"/>
    <w:rsid w:val="5428719C"/>
    <w:rsid w:val="54321AC2"/>
    <w:rsid w:val="543D36A4"/>
    <w:rsid w:val="545E6F22"/>
    <w:rsid w:val="54644976"/>
    <w:rsid w:val="54655E08"/>
    <w:rsid w:val="546649A9"/>
    <w:rsid w:val="546B0426"/>
    <w:rsid w:val="549C661D"/>
    <w:rsid w:val="549E05E7"/>
    <w:rsid w:val="54B03E76"/>
    <w:rsid w:val="54CC5B4C"/>
    <w:rsid w:val="54DA7145"/>
    <w:rsid w:val="54DE6C35"/>
    <w:rsid w:val="54E16725"/>
    <w:rsid w:val="54ED50CA"/>
    <w:rsid w:val="54F93A6F"/>
    <w:rsid w:val="55061EF5"/>
    <w:rsid w:val="5513726A"/>
    <w:rsid w:val="551663CF"/>
    <w:rsid w:val="5519761B"/>
    <w:rsid w:val="55312A24"/>
    <w:rsid w:val="55313209"/>
    <w:rsid w:val="55397BB0"/>
    <w:rsid w:val="5543089A"/>
    <w:rsid w:val="554F7B33"/>
    <w:rsid w:val="55500B7A"/>
    <w:rsid w:val="557F21C6"/>
    <w:rsid w:val="55885338"/>
    <w:rsid w:val="558F6DFF"/>
    <w:rsid w:val="55990DAE"/>
    <w:rsid w:val="55AF05D2"/>
    <w:rsid w:val="55B353F5"/>
    <w:rsid w:val="55B86489"/>
    <w:rsid w:val="55BB0D24"/>
    <w:rsid w:val="55C027DF"/>
    <w:rsid w:val="55C27722"/>
    <w:rsid w:val="56004989"/>
    <w:rsid w:val="560B60D9"/>
    <w:rsid w:val="56161BD4"/>
    <w:rsid w:val="56220DA3"/>
    <w:rsid w:val="56226FF5"/>
    <w:rsid w:val="563A7E9B"/>
    <w:rsid w:val="5642697E"/>
    <w:rsid w:val="56456A09"/>
    <w:rsid w:val="564E1B99"/>
    <w:rsid w:val="56791205"/>
    <w:rsid w:val="568630E0"/>
    <w:rsid w:val="56BB0A65"/>
    <w:rsid w:val="56D952A8"/>
    <w:rsid w:val="56D95906"/>
    <w:rsid w:val="56DC57FE"/>
    <w:rsid w:val="56EF3762"/>
    <w:rsid w:val="56FC33A3"/>
    <w:rsid w:val="57225757"/>
    <w:rsid w:val="57274D83"/>
    <w:rsid w:val="572D7A00"/>
    <w:rsid w:val="573B211D"/>
    <w:rsid w:val="57407F61"/>
    <w:rsid w:val="574C257C"/>
    <w:rsid w:val="574E2BA6"/>
    <w:rsid w:val="57831D16"/>
    <w:rsid w:val="57875362"/>
    <w:rsid w:val="579857E3"/>
    <w:rsid w:val="57A16858"/>
    <w:rsid w:val="57AA72A2"/>
    <w:rsid w:val="57D460CD"/>
    <w:rsid w:val="57F55AE4"/>
    <w:rsid w:val="5802684E"/>
    <w:rsid w:val="58164938"/>
    <w:rsid w:val="581A4428"/>
    <w:rsid w:val="5838665C"/>
    <w:rsid w:val="583B3243"/>
    <w:rsid w:val="586438F5"/>
    <w:rsid w:val="586B2160"/>
    <w:rsid w:val="58740BE1"/>
    <w:rsid w:val="587873A1"/>
    <w:rsid w:val="58831FCD"/>
    <w:rsid w:val="58B51D2F"/>
    <w:rsid w:val="58B8779D"/>
    <w:rsid w:val="58B9221A"/>
    <w:rsid w:val="58C16652"/>
    <w:rsid w:val="58C36A96"/>
    <w:rsid w:val="58C779E0"/>
    <w:rsid w:val="58CF5213"/>
    <w:rsid w:val="58D520FD"/>
    <w:rsid w:val="58DB5992"/>
    <w:rsid w:val="58DD798B"/>
    <w:rsid w:val="58E30CBE"/>
    <w:rsid w:val="58F75133"/>
    <w:rsid w:val="58FA1B64"/>
    <w:rsid w:val="59017396"/>
    <w:rsid w:val="590F1468"/>
    <w:rsid w:val="591440B4"/>
    <w:rsid w:val="591F781C"/>
    <w:rsid w:val="59331709"/>
    <w:rsid w:val="593F7AD7"/>
    <w:rsid w:val="594554D5"/>
    <w:rsid w:val="59594ADC"/>
    <w:rsid w:val="595A64AD"/>
    <w:rsid w:val="596F2552"/>
    <w:rsid w:val="598A113A"/>
    <w:rsid w:val="598F04FE"/>
    <w:rsid w:val="599D197A"/>
    <w:rsid w:val="59A71F8F"/>
    <w:rsid w:val="59AB01F8"/>
    <w:rsid w:val="59B652B4"/>
    <w:rsid w:val="59B9431E"/>
    <w:rsid w:val="59C53F20"/>
    <w:rsid w:val="59C97EB4"/>
    <w:rsid w:val="59D40607"/>
    <w:rsid w:val="59D41713"/>
    <w:rsid w:val="59D625D1"/>
    <w:rsid w:val="59DD570D"/>
    <w:rsid w:val="59E22D24"/>
    <w:rsid w:val="59FC1CC9"/>
    <w:rsid w:val="5A08675B"/>
    <w:rsid w:val="5A2A0227"/>
    <w:rsid w:val="5A3115B5"/>
    <w:rsid w:val="5A405C9C"/>
    <w:rsid w:val="5A490FF5"/>
    <w:rsid w:val="5A537A69"/>
    <w:rsid w:val="5A5A57AD"/>
    <w:rsid w:val="5A6A5AF8"/>
    <w:rsid w:val="5A6C4CE3"/>
    <w:rsid w:val="5A8262B5"/>
    <w:rsid w:val="5A84202D"/>
    <w:rsid w:val="5A971D60"/>
    <w:rsid w:val="5A990844"/>
    <w:rsid w:val="5A9C7376"/>
    <w:rsid w:val="5AC71F19"/>
    <w:rsid w:val="5ACA2937"/>
    <w:rsid w:val="5ACD5782"/>
    <w:rsid w:val="5ACF0F8A"/>
    <w:rsid w:val="5AF86B46"/>
    <w:rsid w:val="5B0667AC"/>
    <w:rsid w:val="5B070568"/>
    <w:rsid w:val="5B4B66A7"/>
    <w:rsid w:val="5B4D68C3"/>
    <w:rsid w:val="5B57504B"/>
    <w:rsid w:val="5B597015"/>
    <w:rsid w:val="5B601D6D"/>
    <w:rsid w:val="5B6A2FD1"/>
    <w:rsid w:val="5B6B4F9B"/>
    <w:rsid w:val="5B763AC6"/>
    <w:rsid w:val="5B9C33A6"/>
    <w:rsid w:val="5BAF6C35"/>
    <w:rsid w:val="5BB03E37"/>
    <w:rsid w:val="5BB16E51"/>
    <w:rsid w:val="5BBC5765"/>
    <w:rsid w:val="5BBF67BB"/>
    <w:rsid w:val="5BE07737"/>
    <w:rsid w:val="5BEA0EA0"/>
    <w:rsid w:val="5BF24C58"/>
    <w:rsid w:val="5BF64864"/>
    <w:rsid w:val="5BFE7BBD"/>
    <w:rsid w:val="5C0554A5"/>
    <w:rsid w:val="5C235F5B"/>
    <w:rsid w:val="5C2B0FDF"/>
    <w:rsid w:val="5C3402DC"/>
    <w:rsid w:val="5C3F22A3"/>
    <w:rsid w:val="5C433822"/>
    <w:rsid w:val="5C470D42"/>
    <w:rsid w:val="5C606182"/>
    <w:rsid w:val="5C6C69AE"/>
    <w:rsid w:val="5C8962E6"/>
    <w:rsid w:val="5C8D3148"/>
    <w:rsid w:val="5C8E5E88"/>
    <w:rsid w:val="5C92685B"/>
    <w:rsid w:val="5C95745D"/>
    <w:rsid w:val="5CA3560F"/>
    <w:rsid w:val="5CA92B4D"/>
    <w:rsid w:val="5CAC2E4F"/>
    <w:rsid w:val="5CAF1492"/>
    <w:rsid w:val="5CBD29A0"/>
    <w:rsid w:val="5CC2508E"/>
    <w:rsid w:val="5CD5091E"/>
    <w:rsid w:val="5CD86BD0"/>
    <w:rsid w:val="5CF05758"/>
    <w:rsid w:val="5CFA6311"/>
    <w:rsid w:val="5D0B2943"/>
    <w:rsid w:val="5D1F7DEB"/>
    <w:rsid w:val="5D2212B7"/>
    <w:rsid w:val="5D23137A"/>
    <w:rsid w:val="5D236E89"/>
    <w:rsid w:val="5D2378DB"/>
    <w:rsid w:val="5D283143"/>
    <w:rsid w:val="5D3A4C25"/>
    <w:rsid w:val="5D412E86"/>
    <w:rsid w:val="5D45600F"/>
    <w:rsid w:val="5D537A94"/>
    <w:rsid w:val="5D5B27A1"/>
    <w:rsid w:val="5D5F468B"/>
    <w:rsid w:val="5D663C6C"/>
    <w:rsid w:val="5D683540"/>
    <w:rsid w:val="5D7243BE"/>
    <w:rsid w:val="5D77669C"/>
    <w:rsid w:val="5D86006E"/>
    <w:rsid w:val="5DA744B4"/>
    <w:rsid w:val="5DB270F2"/>
    <w:rsid w:val="5DCF35BF"/>
    <w:rsid w:val="5DD230AF"/>
    <w:rsid w:val="5DF66BDC"/>
    <w:rsid w:val="5DFB359E"/>
    <w:rsid w:val="5E2B4A69"/>
    <w:rsid w:val="5E394EDC"/>
    <w:rsid w:val="5E443FAD"/>
    <w:rsid w:val="5E727157"/>
    <w:rsid w:val="5E772DB2"/>
    <w:rsid w:val="5E8B0CD1"/>
    <w:rsid w:val="5E907AF9"/>
    <w:rsid w:val="5E927771"/>
    <w:rsid w:val="5E9B5B97"/>
    <w:rsid w:val="5EA42C9D"/>
    <w:rsid w:val="5EA7453C"/>
    <w:rsid w:val="5EAE7678"/>
    <w:rsid w:val="5EBB7FE7"/>
    <w:rsid w:val="5ECB647C"/>
    <w:rsid w:val="5EE26529"/>
    <w:rsid w:val="5F092B01"/>
    <w:rsid w:val="5F2A6A0E"/>
    <w:rsid w:val="5F3959AA"/>
    <w:rsid w:val="5F443B39"/>
    <w:rsid w:val="5F491A1B"/>
    <w:rsid w:val="5F750ADC"/>
    <w:rsid w:val="5F996F71"/>
    <w:rsid w:val="5F9C2CA4"/>
    <w:rsid w:val="5FA36AB1"/>
    <w:rsid w:val="5FAE3A01"/>
    <w:rsid w:val="5FC86AF5"/>
    <w:rsid w:val="5FD70E51"/>
    <w:rsid w:val="5FDC7E9B"/>
    <w:rsid w:val="5FE315A4"/>
    <w:rsid w:val="5FEF619A"/>
    <w:rsid w:val="5FFC4413"/>
    <w:rsid w:val="600339F4"/>
    <w:rsid w:val="6004777E"/>
    <w:rsid w:val="60115C72"/>
    <w:rsid w:val="6013693F"/>
    <w:rsid w:val="601B0D3D"/>
    <w:rsid w:val="60275934"/>
    <w:rsid w:val="603B318E"/>
    <w:rsid w:val="604069F6"/>
    <w:rsid w:val="604F09E7"/>
    <w:rsid w:val="605B738C"/>
    <w:rsid w:val="6066108A"/>
    <w:rsid w:val="60712CDB"/>
    <w:rsid w:val="60736193"/>
    <w:rsid w:val="607466A0"/>
    <w:rsid w:val="607A54CE"/>
    <w:rsid w:val="608A6083"/>
    <w:rsid w:val="60AA172A"/>
    <w:rsid w:val="60C56EFB"/>
    <w:rsid w:val="60C63FD9"/>
    <w:rsid w:val="60D50441"/>
    <w:rsid w:val="60D5726F"/>
    <w:rsid w:val="60D9283D"/>
    <w:rsid w:val="60DA190E"/>
    <w:rsid w:val="60E27AAD"/>
    <w:rsid w:val="60E37A9B"/>
    <w:rsid w:val="60FA6BA5"/>
    <w:rsid w:val="610E5564"/>
    <w:rsid w:val="61113EEE"/>
    <w:rsid w:val="61241E74"/>
    <w:rsid w:val="614748AD"/>
    <w:rsid w:val="614B5652"/>
    <w:rsid w:val="614B7400"/>
    <w:rsid w:val="615D0EE2"/>
    <w:rsid w:val="61652E80"/>
    <w:rsid w:val="61920AE7"/>
    <w:rsid w:val="619A3B9A"/>
    <w:rsid w:val="619C1A0A"/>
    <w:rsid w:val="619F599E"/>
    <w:rsid w:val="61AA617D"/>
    <w:rsid w:val="61AD2277"/>
    <w:rsid w:val="61B01959"/>
    <w:rsid w:val="61E21CA2"/>
    <w:rsid w:val="61E909C7"/>
    <w:rsid w:val="621150B7"/>
    <w:rsid w:val="62187750"/>
    <w:rsid w:val="62271B8B"/>
    <w:rsid w:val="622F0AD0"/>
    <w:rsid w:val="622F287E"/>
    <w:rsid w:val="622F7D46"/>
    <w:rsid w:val="62303D5D"/>
    <w:rsid w:val="62325D1C"/>
    <w:rsid w:val="623B56C7"/>
    <w:rsid w:val="623D0256"/>
    <w:rsid w:val="623E0D13"/>
    <w:rsid w:val="62423FC3"/>
    <w:rsid w:val="624339A9"/>
    <w:rsid w:val="62453B18"/>
    <w:rsid w:val="62522A10"/>
    <w:rsid w:val="625340CD"/>
    <w:rsid w:val="625D47CB"/>
    <w:rsid w:val="626369CC"/>
    <w:rsid w:val="626B762E"/>
    <w:rsid w:val="627252FE"/>
    <w:rsid w:val="62777E59"/>
    <w:rsid w:val="62797F9D"/>
    <w:rsid w:val="628A01C5"/>
    <w:rsid w:val="628B2BF7"/>
    <w:rsid w:val="629366F4"/>
    <w:rsid w:val="629B6165"/>
    <w:rsid w:val="62A0552A"/>
    <w:rsid w:val="62A36DC8"/>
    <w:rsid w:val="62B132A1"/>
    <w:rsid w:val="62B964FA"/>
    <w:rsid w:val="62BD2202"/>
    <w:rsid w:val="62CE705E"/>
    <w:rsid w:val="62DB0C58"/>
    <w:rsid w:val="62DF4E3C"/>
    <w:rsid w:val="62E73159"/>
    <w:rsid w:val="62E85D96"/>
    <w:rsid w:val="62F15D85"/>
    <w:rsid w:val="62F835B8"/>
    <w:rsid w:val="63041F5D"/>
    <w:rsid w:val="630A6E47"/>
    <w:rsid w:val="630C2BBF"/>
    <w:rsid w:val="63214AE8"/>
    <w:rsid w:val="63282FC3"/>
    <w:rsid w:val="6329551F"/>
    <w:rsid w:val="633B34A5"/>
    <w:rsid w:val="633D1CE0"/>
    <w:rsid w:val="63450CA8"/>
    <w:rsid w:val="63493184"/>
    <w:rsid w:val="63573A25"/>
    <w:rsid w:val="635A12B4"/>
    <w:rsid w:val="635C2035"/>
    <w:rsid w:val="63611B20"/>
    <w:rsid w:val="63777CA7"/>
    <w:rsid w:val="63892462"/>
    <w:rsid w:val="63921239"/>
    <w:rsid w:val="6394230E"/>
    <w:rsid w:val="63A81C50"/>
    <w:rsid w:val="63C5060B"/>
    <w:rsid w:val="63CF632C"/>
    <w:rsid w:val="63D715A1"/>
    <w:rsid w:val="63EF7FA0"/>
    <w:rsid w:val="63FA21F9"/>
    <w:rsid w:val="641E6734"/>
    <w:rsid w:val="64345999"/>
    <w:rsid w:val="643474F7"/>
    <w:rsid w:val="643B00E8"/>
    <w:rsid w:val="645A6B7B"/>
    <w:rsid w:val="64607667"/>
    <w:rsid w:val="646C5FB1"/>
    <w:rsid w:val="6476379D"/>
    <w:rsid w:val="64763E2C"/>
    <w:rsid w:val="647C3D75"/>
    <w:rsid w:val="64852C29"/>
    <w:rsid w:val="64882A58"/>
    <w:rsid w:val="64925346"/>
    <w:rsid w:val="64AF414A"/>
    <w:rsid w:val="64CF659A"/>
    <w:rsid w:val="64D34395"/>
    <w:rsid w:val="64EA6203"/>
    <w:rsid w:val="65053D6A"/>
    <w:rsid w:val="65055979"/>
    <w:rsid w:val="65137B25"/>
    <w:rsid w:val="65150451"/>
    <w:rsid w:val="65177F59"/>
    <w:rsid w:val="651D27FB"/>
    <w:rsid w:val="65240694"/>
    <w:rsid w:val="652E7E13"/>
    <w:rsid w:val="65322A34"/>
    <w:rsid w:val="655A40B6"/>
    <w:rsid w:val="656071F2"/>
    <w:rsid w:val="657236A9"/>
    <w:rsid w:val="657809E0"/>
    <w:rsid w:val="65832EBA"/>
    <w:rsid w:val="65894783"/>
    <w:rsid w:val="65956E9C"/>
    <w:rsid w:val="659C46CE"/>
    <w:rsid w:val="65A70761"/>
    <w:rsid w:val="65B705C0"/>
    <w:rsid w:val="65BC7FC9"/>
    <w:rsid w:val="65CE6852"/>
    <w:rsid w:val="65E25E59"/>
    <w:rsid w:val="65E336C9"/>
    <w:rsid w:val="65E41BD1"/>
    <w:rsid w:val="65EE0CA2"/>
    <w:rsid w:val="65FC6F1B"/>
    <w:rsid w:val="65FD2C93"/>
    <w:rsid w:val="661701F9"/>
    <w:rsid w:val="6626043C"/>
    <w:rsid w:val="664D7777"/>
    <w:rsid w:val="66544FA9"/>
    <w:rsid w:val="66552B2B"/>
    <w:rsid w:val="66567FF1"/>
    <w:rsid w:val="665937B5"/>
    <w:rsid w:val="666230CA"/>
    <w:rsid w:val="666B5E4F"/>
    <w:rsid w:val="66707909"/>
    <w:rsid w:val="667F298E"/>
    <w:rsid w:val="66857CF8"/>
    <w:rsid w:val="669748D6"/>
    <w:rsid w:val="66A23F66"/>
    <w:rsid w:val="66A71258"/>
    <w:rsid w:val="66AC6B93"/>
    <w:rsid w:val="66B21CD0"/>
    <w:rsid w:val="66B57E5F"/>
    <w:rsid w:val="66C242CC"/>
    <w:rsid w:val="66CC5472"/>
    <w:rsid w:val="66D06120"/>
    <w:rsid w:val="66D460EA"/>
    <w:rsid w:val="66D52076"/>
    <w:rsid w:val="66DC6D4D"/>
    <w:rsid w:val="66E26E7C"/>
    <w:rsid w:val="66F422E8"/>
    <w:rsid w:val="66F95B50"/>
    <w:rsid w:val="670219E7"/>
    <w:rsid w:val="670238F3"/>
    <w:rsid w:val="670C4FDE"/>
    <w:rsid w:val="671309C0"/>
    <w:rsid w:val="671C744E"/>
    <w:rsid w:val="6740552D"/>
    <w:rsid w:val="6749706D"/>
    <w:rsid w:val="674A1F08"/>
    <w:rsid w:val="674C3ED2"/>
    <w:rsid w:val="674F5770"/>
    <w:rsid w:val="676A026B"/>
    <w:rsid w:val="676B69FA"/>
    <w:rsid w:val="676C6322"/>
    <w:rsid w:val="67803B7C"/>
    <w:rsid w:val="678F3DBF"/>
    <w:rsid w:val="679A2E90"/>
    <w:rsid w:val="67B0620F"/>
    <w:rsid w:val="67BF5044"/>
    <w:rsid w:val="67C107F4"/>
    <w:rsid w:val="67C65A33"/>
    <w:rsid w:val="67D3032E"/>
    <w:rsid w:val="67E265E5"/>
    <w:rsid w:val="67E660D5"/>
    <w:rsid w:val="67EA66C6"/>
    <w:rsid w:val="67FA56DC"/>
    <w:rsid w:val="67FD51CC"/>
    <w:rsid w:val="680E1188"/>
    <w:rsid w:val="682242D8"/>
    <w:rsid w:val="68262975"/>
    <w:rsid w:val="68350E54"/>
    <w:rsid w:val="683F57E5"/>
    <w:rsid w:val="68564350"/>
    <w:rsid w:val="68614103"/>
    <w:rsid w:val="686635B0"/>
    <w:rsid w:val="6870315E"/>
    <w:rsid w:val="68A45648"/>
    <w:rsid w:val="68B24209"/>
    <w:rsid w:val="68BA4E6C"/>
    <w:rsid w:val="68CA68A4"/>
    <w:rsid w:val="68F16ADF"/>
    <w:rsid w:val="68FC241E"/>
    <w:rsid w:val="68FE11FC"/>
    <w:rsid w:val="691B3B5C"/>
    <w:rsid w:val="692264C9"/>
    <w:rsid w:val="69233924"/>
    <w:rsid w:val="6948298A"/>
    <w:rsid w:val="694D0207"/>
    <w:rsid w:val="6951757E"/>
    <w:rsid w:val="697119CE"/>
    <w:rsid w:val="697414BE"/>
    <w:rsid w:val="697D4817"/>
    <w:rsid w:val="698A250C"/>
    <w:rsid w:val="699F653B"/>
    <w:rsid w:val="69A53EF4"/>
    <w:rsid w:val="69A87AAE"/>
    <w:rsid w:val="69AE49D0"/>
    <w:rsid w:val="69BF2811"/>
    <w:rsid w:val="69D733AD"/>
    <w:rsid w:val="6A06390E"/>
    <w:rsid w:val="6A06480C"/>
    <w:rsid w:val="6A0D2113"/>
    <w:rsid w:val="6A0E36C1"/>
    <w:rsid w:val="6A1A02B8"/>
    <w:rsid w:val="6A22716C"/>
    <w:rsid w:val="6A2904FB"/>
    <w:rsid w:val="6A293039"/>
    <w:rsid w:val="6A5C7765"/>
    <w:rsid w:val="6A633A0D"/>
    <w:rsid w:val="6A6907EF"/>
    <w:rsid w:val="6A8219B9"/>
    <w:rsid w:val="6A86594D"/>
    <w:rsid w:val="6A9126D7"/>
    <w:rsid w:val="6AB91856"/>
    <w:rsid w:val="6ABA73A5"/>
    <w:rsid w:val="6ABF5992"/>
    <w:rsid w:val="6AC344AB"/>
    <w:rsid w:val="6AC94A9A"/>
    <w:rsid w:val="6AD0082B"/>
    <w:rsid w:val="6AF05909"/>
    <w:rsid w:val="6B013226"/>
    <w:rsid w:val="6B0B19AE"/>
    <w:rsid w:val="6B1B6095"/>
    <w:rsid w:val="6B2361F6"/>
    <w:rsid w:val="6B2B7B83"/>
    <w:rsid w:val="6B3E7FD6"/>
    <w:rsid w:val="6B435DC8"/>
    <w:rsid w:val="6B5B46E4"/>
    <w:rsid w:val="6B5E5F82"/>
    <w:rsid w:val="6B623CC4"/>
    <w:rsid w:val="6B63238D"/>
    <w:rsid w:val="6B7457A6"/>
    <w:rsid w:val="6B8C5063"/>
    <w:rsid w:val="6B923E7E"/>
    <w:rsid w:val="6BA8544F"/>
    <w:rsid w:val="6BA9399A"/>
    <w:rsid w:val="6BAE03D5"/>
    <w:rsid w:val="6BB31B99"/>
    <w:rsid w:val="6BCA186A"/>
    <w:rsid w:val="6BD94F89"/>
    <w:rsid w:val="6BE94390"/>
    <w:rsid w:val="6BEE7306"/>
    <w:rsid w:val="6BEF1B0D"/>
    <w:rsid w:val="6BF31356"/>
    <w:rsid w:val="6BF54B38"/>
    <w:rsid w:val="6BFD20FB"/>
    <w:rsid w:val="6C044D7B"/>
    <w:rsid w:val="6C152AE5"/>
    <w:rsid w:val="6C180827"/>
    <w:rsid w:val="6C3D203B"/>
    <w:rsid w:val="6C417D7E"/>
    <w:rsid w:val="6C4D78A6"/>
    <w:rsid w:val="6C5630FD"/>
    <w:rsid w:val="6C6475C8"/>
    <w:rsid w:val="6C700663"/>
    <w:rsid w:val="6C726189"/>
    <w:rsid w:val="6C77379F"/>
    <w:rsid w:val="6C81770F"/>
    <w:rsid w:val="6C9854C4"/>
    <w:rsid w:val="6CA95923"/>
    <w:rsid w:val="6CB57E24"/>
    <w:rsid w:val="6CC83FFB"/>
    <w:rsid w:val="6CF05300"/>
    <w:rsid w:val="6CF7668E"/>
    <w:rsid w:val="6CFC1EF7"/>
    <w:rsid w:val="6CFC5A53"/>
    <w:rsid w:val="6D170ADE"/>
    <w:rsid w:val="6D417438"/>
    <w:rsid w:val="6D4B2536"/>
    <w:rsid w:val="6D602485"/>
    <w:rsid w:val="6D6C1076"/>
    <w:rsid w:val="6D7478EE"/>
    <w:rsid w:val="6D763A57"/>
    <w:rsid w:val="6D8343C6"/>
    <w:rsid w:val="6D920165"/>
    <w:rsid w:val="6D9519D5"/>
    <w:rsid w:val="6D9B07DA"/>
    <w:rsid w:val="6D9D7236"/>
    <w:rsid w:val="6DA16BD2"/>
    <w:rsid w:val="6DA63F22"/>
    <w:rsid w:val="6DC72505"/>
    <w:rsid w:val="6DCC7B1B"/>
    <w:rsid w:val="6DDF784E"/>
    <w:rsid w:val="6DF13761"/>
    <w:rsid w:val="6E0E0133"/>
    <w:rsid w:val="6E1558C8"/>
    <w:rsid w:val="6E182D60"/>
    <w:rsid w:val="6E1D0376"/>
    <w:rsid w:val="6E247776"/>
    <w:rsid w:val="6E250E46"/>
    <w:rsid w:val="6E251531"/>
    <w:rsid w:val="6E331948"/>
    <w:rsid w:val="6E34121C"/>
    <w:rsid w:val="6E3D4575"/>
    <w:rsid w:val="6E414065"/>
    <w:rsid w:val="6E502ADD"/>
    <w:rsid w:val="6E511DCE"/>
    <w:rsid w:val="6E551B5B"/>
    <w:rsid w:val="6E573A03"/>
    <w:rsid w:val="6E5E2E34"/>
    <w:rsid w:val="6E661D1D"/>
    <w:rsid w:val="6E684718"/>
    <w:rsid w:val="6E981591"/>
    <w:rsid w:val="6EAA39A2"/>
    <w:rsid w:val="6EB365E5"/>
    <w:rsid w:val="6ECC6DC8"/>
    <w:rsid w:val="6EE05C99"/>
    <w:rsid w:val="6EE61403"/>
    <w:rsid w:val="6EFC4ADE"/>
    <w:rsid w:val="6F2F65B3"/>
    <w:rsid w:val="6F32398A"/>
    <w:rsid w:val="6F3B0A2E"/>
    <w:rsid w:val="6F4044CB"/>
    <w:rsid w:val="6F4A006F"/>
    <w:rsid w:val="6F4A519B"/>
    <w:rsid w:val="6F593630"/>
    <w:rsid w:val="6F5B73A8"/>
    <w:rsid w:val="6F685A10"/>
    <w:rsid w:val="6F767D3E"/>
    <w:rsid w:val="6F80020C"/>
    <w:rsid w:val="6F821D23"/>
    <w:rsid w:val="6F9366CF"/>
    <w:rsid w:val="6F9B1553"/>
    <w:rsid w:val="6F9F3AF3"/>
    <w:rsid w:val="6FA128E1"/>
    <w:rsid w:val="6FAF0FDA"/>
    <w:rsid w:val="6FB34E52"/>
    <w:rsid w:val="6FC565D0"/>
    <w:rsid w:val="6FD42CB7"/>
    <w:rsid w:val="6FE23626"/>
    <w:rsid w:val="6FEC4978"/>
    <w:rsid w:val="6FEF7AF1"/>
    <w:rsid w:val="6FF62C2D"/>
    <w:rsid w:val="6FFB6495"/>
    <w:rsid w:val="700C3276"/>
    <w:rsid w:val="700D088C"/>
    <w:rsid w:val="700E45FE"/>
    <w:rsid w:val="703B6EE2"/>
    <w:rsid w:val="704232C3"/>
    <w:rsid w:val="704249BF"/>
    <w:rsid w:val="70441BEA"/>
    <w:rsid w:val="70453BB5"/>
    <w:rsid w:val="704B266B"/>
    <w:rsid w:val="70512559"/>
    <w:rsid w:val="705F4C76"/>
    <w:rsid w:val="7064228D"/>
    <w:rsid w:val="706E310B"/>
    <w:rsid w:val="70820FD9"/>
    <w:rsid w:val="709D579F"/>
    <w:rsid w:val="70A46B2D"/>
    <w:rsid w:val="70A97C9F"/>
    <w:rsid w:val="70B56644"/>
    <w:rsid w:val="70B751AD"/>
    <w:rsid w:val="70CE4EA1"/>
    <w:rsid w:val="70E05E9D"/>
    <w:rsid w:val="70E231B1"/>
    <w:rsid w:val="70FD4809"/>
    <w:rsid w:val="7103047F"/>
    <w:rsid w:val="7113017D"/>
    <w:rsid w:val="711772FF"/>
    <w:rsid w:val="711B4292"/>
    <w:rsid w:val="71222D1B"/>
    <w:rsid w:val="713A2FED"/>
    <w:rsid w:val="713C0B14"/>
    <w:rsid w:val="714C17A4"/>
    <w:rsid w:val="71566000"/>
    <w:rsid w:val="71601E39"/>
    <w:rsid w:val="71915DBC"/>
    <w:rsid w:val="71A05546"/>
    <w:rsid w:val="71BB3875"/>
    <w:rsid w:val="71C034F3"/>
    <w:rsid w:val="71C546DD"/>
    <w:rsid w:val="71E23DDD"/>
    <w:rsid w:val="71E63E66"/>
    <w:rsid w:val="71EA7B61"/>
    <w:rsid w:val="71F65166"/>
    <w:rsid w:val="72000A58"/>
    <w:rsid w:val="72097D64"/>
    <w:rsid w:val="721D5E0B"/>
    <w:rsid w:val="722A3062"/>
    <w:rsid w:val="72356599"/>
    <w:rsid w:val="725110DB"/>
    <w:rsid w:val="725325B9"/>
    <w:rsid w:val="72687A9B"/>
    <w:rsid w:val="726A345E"/>
    <w:rsid w:val="726C5429"/>
    <w:rsid w:val="726D6A77"/>
    <w:rsid w:val="727018FF"/>
    <w:rsid w:val="7284703D"/>
    <w:rsid w:val="72BD6FD4"/>
    <w:rsid w:val="72C344B7"/>
    <w:rsid w:val="72C87F02"/>
    <w:rsid w:val="72CE1FD6"/>
    <w:rsid w:val="72D541D6"/>
    <w:rsid w:val="72DC25AE"/>
    <w:rsid w:val="72E01973"/>
    <w:rsid w:val="72E74AAF"/>
    <w:rsid w:val="72EE6F78"/>
    <w:rsid w:val="730012E9"/>
    <w:rsid w:val="730E4732"/>
    <w:rsid w:val="7318110C"/>
    <w:rsid w:val="732D3A4D"/>
    <w:rsid w:val="73313FDF"/>
    <w:rsid w:val="734248D3"/>
    <w:rsid w:val="734A49FB"/>
    <w:rsid w:val="7352461E"/>
    <w:rsid w:val="73562C16"/>
    <w:rsid w:val="735F6D3B"/>
    <w:rsid w:val="73734595"/>
    <w:rsid w:val="737E5413"/>
    <w:rsid w:val="73804653"/>
    <w:rsid w:val="738F33AD"/>
    <w:rsid w:val="73CF5C6F"/>
    <w:rsid w:val="73E3171A"/>
    <w:rsid w:val="73E3796C"/>
    <w:rsid w:val="73EA0CFB"/>
    <w:rsid w:val="73F91EDA"/>
    <w:rsid w:val="741D31E9"/>
    <w:rsid w:val="7420296E"/>
    <w:rsid w:val="742C4E6F"/>
    <w:rsid w:val="743B7BDF"/>
    <w:rsid w:val="744827C1"/>
    <w:rsid w:val="74535F81"/>
    <w:rsid w:val="745A0321"/>
    <w:rsid w:val="746764FE"/>
    <w:rsid w:val="746F1200"/>
    <w:rsid w:val="7470597E"/>
    <w:rsid w:val="74795BDB"/>
    <w:rsid w:val="747F7695"/>
    <w:rsid w:val="748A603A"/>
    <w:rsid w:val="74A0585D"/>
    <w:rsid w:val="74A80D46"/>
    <w:rsid w:val="74AB0B6C"/>
    <w:rsid w:val="74B355FF"/>
    <w:rsid w:val="74CE23CA"/>
    <w:rsid w:val="75061B64"/>
    <w:rsid w:val="75072C12"/>
    <w:rsid w:val="750A0A8A"/>
    <w:rsid w:val="75183646"/>
    <w:rsid w:val="75412B9C"/>
    <w:rsid w:val="75475CD9"/>
    <w:rsid w:val="75483CBA"/>
    <w:rsid w:val="755342EA"/>
    <w:rsid w:val="75535C5E"/>
    <w:rsid w:val="755F1275"/>
    <w:rsid w:val="75640639"/>
    <w:rsid w:val="75662603"/>
    <w:rsid w:val="75852B4F"/>
    <w:rsid w:val="75875628"/>
    <w:rsid w:val="758916BC"/>
    <w:rsid w:val="75954C96"/>
    <w:rsid w:val="75AB270C"/>
    <w:rsid w:val="75AE549B"/>
    <w:rsid w:val="75DB0912"/>
    <w:rsid w:val="75DD343A"/>
    <w:rsid w:val="75EA6D90"/>
    <w:rsid w:val="75F04D0D"/>
    <w:rsid w:val="75FE45EA"/>
    <w:rsid w:val="762A7AD4"/>
    <w:rsid w:val="762F0C47"/>
    <w:rsid w:val="763406C3"/>
    <w:rsid w:val="76393874"/>
    <w:rsid w:val="76426BCC"/>
    <w:rsid w:val="76472434"/>
    <w:rsid w:val="764861AD"/>
    <w:rsid w:val="764F3097"/>
    <w:rsid w:val="766823AB"/>
    <w:rsid w:val="768A2321"/>
    <w:rsid w:val="768E0063"/>
    <w:rsid w:val="768F5B89"/>
    <w:rsid w:val="7691545E"/>
    <w:rsid w:val="76A30345"/>
    <w:rsid w:val="76BF646F"/>
    <w:rsid w:val="76D0242A"/>
    <w:rsid w:val="76D37824"/>
    <w:rsid w:val="76D90BB3"/>
    <w:rsid w:val="7709070B"/>
    <w:rsid w:val="771E27A0"/>
    <w:rsid w:val="772760EC"/>
    <w:rsid w:val="772C162A"/>
    <w:rsid w:val="77316C41"/>
    <w:rsid w:val="7750356B"/>
    <w:rsid w:val="775070C7"/>
    <w:rsid w:val="77552ADF"/>
    <w:rsid w:val="777234E1"/>
    <w:rsid w:val="77737259"/>
    <w:rsid w:val="77866F8C"/>
    <w:rsid w:val="77920529"/>
    <w:rsid w:val="77AE6E47"/>
    <w:rsid w:val="77B9791C"/>
    <w:rsid w:val="77BD2282"/>
    <w:rsid w:val="77CA2A48"/>
    <w:rsid w:val="77D00208"/>
    <w:rsid w:val="77D01FB6"/>
    <w:rsid w:val="77D31AA6"/>
    <w:rsid w:val="77D55B8F"/>
    <w:rsid w:val="77E54CD2"/>
    <w:rsid w:val="77FC615D"/>
    <w:rsid w:val="780600CD"/>
    <w:rsid w:val="78090E99"/>
    <w:rsid w:val="781F4C8F"/>
    <w:rsid w:val="782B2DC7"/>
    <w:rsid w:val="78387464"/>
    <w:rsid w:val="78431906"/>
    <w:rsid w:val="78540E39"/>
    <w:rsid w:val="786A27A3"/>
    <w:rsid w:val="787D1F3D"/>
    <w:rsid w:val="788914E0"/>
    <w:rsid w:val="78995830"/>
    <w:rsid w:val="78BB2C66"/>
    <w:rsid w:val="78C53B9B"/>
    <w:rsid w:val="78DB3B19"/>
    <w:rsid w:val="78DC4238"/>
    <w:rsid w:val="78F246B6"/>
    <w:rsid w:val="78F36AC2"/>
    <w:rsid w:val="78F921D5"/>
    <w:rsid w:val="78FD0908"/>
    <w:rsid w:val="792151BF"/>
    <w:rsid w:val="7923201D"/>
    <w:rsid w:val="79273E57"/>
    <w:rsid w:val="793D367B"/>
    <w:rsid w:val="79453374"/>
    <w:rsid w:val="79584959"/>
    <w:rsid w:val="795A5FDB"/>
    <w:rsid w:val="795D1F6F"/>
    <w:rsid w:val="796E7CD8"/>
    <w:rsid w:val="797F25A0"/>
    <w:rsid w:val="79915775"/>
    <w:rsid w:val="79C618C2"/>
    <w:rsid w:val="79FD2E0A"/>
    <w:rsid w:val="7A0128FA"/>
    <w:rsid w:val="7A020920"/>
    <w:rsid w:val="7A0235FC"/>
    <w:rsid w:val="7A093FF2"/>
    <w:rsid w:val="7A0A689F"/>
    <w:rsid w:val="7A0D74F1"/>
    <w:rsid w:val="7A214D4A"/>
    <w:rsid w:val="7A2860D9"/>
    <w:rsid w:val="7A2A00A3"/>
    <w:rsid w:val="7A2D7B93"/>
    <w:rsid w:val="7A30625E"/>
    <w:rsid w:val="7A346635"/>
    <w:rsid w:val="7A3727C0"/>
    <w:rsid w:val="7A3C62BD"/>
    <w:rsid w:val="7A3D118F"/>
    <w:rsid w:val="7A431165"/>
    <w:rsid w:val="7A537B18"/>
    <w:rsid w:val="7A540C7C"/>
    <w:rsid w:val="7A56161A"/>
    <w:rsid w:val="7A5C507C"/>
    <w:rsid w:val="7A8121B4"/>
    <w:rsid w:val="7A8A28F0"/>
    <w:rsid w:val="7A900104"/>
    <w:rsid w:val="7A9D6AC7"/>
    <w:rsid w:val="7AB160CE"/>
    <w:rsid w:val="7ABA28D1"/>
    <w:rsid w:val="7AD65B35"/>
    <w:rsid w:val="7AE155BA"/>
    <w:rsid w:val="7AE412F1"/>
    <w:rsid w:val="7AFB68E5"/>
    <w:rsid w:val="7AFD0466"/>
    <w:rsid w:val="7AFE32DE"/>
    <w:rsid w:val="7B1D15D0"/>
    <w:rsid w:val="7B1E128A"/>
    <w:rsid w:val="7B2039AA"/>
    <w:rsid w:val="7B252A78"/>
    <w:rsid w:val="7B29035B"/>
    <w:rsid w:val="7B2D1002"/>
    <w:rsid w:val="7B2F54B5"/>
    <w:rsid w:val="7B3E6B19"/>
    <w:rsid w:val="7B5B24DE"/>
    <w:rsid w:val="7B656EB9"/>
    <w:rsid w:val="7B666EB5"/>
    <w:rsid w:val="7B8C5067"/>
    <w:rsid w:val="7BA75723"/>
    <w:rsid w:val="7BBB053C"/>
    <w:rsid w:val="7BD52290"/>
    <w:rsid w:val="7BD858DD"/>
    <w:rsid w:val="7BDA1655"/>
    <w:rsid w:val="7BF5648F"/>
    <w:rsid w:val="7BF734F3"/>
    <w:rsid w:val="7C047433"/>
    <w:rsid w:val="7C0B5CB2"/>
    <w:rsid w:val="7C1160F6"/>
    <w:rsid w:val="7C1903CF"/>
    <w:rsid w:val="7C2A1B9E"/>
    <w:rsid w:val="7C3A6597"/>
    <w:rsid w:val="7C4F7185"/>
    <w:rsid w:val="7C686C61"/>
    <w:rsid w:val="7C71553E"/>
    <w:rsid w:val="7C7A6994"/>
    <w:rsid w:val="7C825488"/>
    <w:rsid w:val="7C8B6195"/>
    <w:rsid w:val="7C977546"/>
    <w:rsid w:val="7CA957A1"/>
    <w:rsid w:val="7CB4634A"/>
    <w:rsid w:val="7CC04CEF"/>
    <w:rsid w:val="7CCD4D16"/>
    <w:rsid w:val="7CD341BD"/>
    <w:rsid w:val="7CE0713F"/>
    <w:rsid w:val="7CE87DA1"/>
    <w:rsid w:val="7CEA0AAA"/>
    <w:rsid w:val="7CEA1D6C"/>
    <w:rsid w:val="7D1522B8"/>
    <w:rsid w:val="7D197F5B"/>
    <w:rsid w:val="7D1C0D35"/>
    <w:rsid w:val="7D2012E9"/>
    <w:rsid w:val="7D213CB1"/>
    <w:rsid w:val="7D252DA4"/>
    <w:rsid w:val="7D384885"/>
    <w:rsid w:val="7D8E05A7"/>
    <w:rsid w:val="7D9F66B2"/>
    <w:rsid w:val="7DA55C93"/>
    <w:rsid w:val="7DC51E91"/>
    <w:rsid w:val="7DD16A88"/>
    <w:rsid w:val="7DD722F0"/>
    <w:rsid w:val="7DFE14BE"/>
    <w:rsid w:val="7E176B90"/>
    <w:rsid w:val="7E215319"/>
    <w:rsid w:val="7E362B44"/>
    <w:rsid w:val="7E370FE0"/>
    <w:rsid w:val="7E4F632A"/>
    <w:rsid w:val="7E543940"/>
    <w:rsid w:val="7E5B128A"/>
    <w:rsid w:val="7E682F48"/>
    <w:rsid w:val="7E6F0F3C"/>
    <w:rsid w:val="7E7933A7"/>
    <w:rsid w:val="7E7E276B"/>
    <w:rsid w:val="7E9F7BA7"/>
    <w:rsid w:val="7EC363D0"/>
    <w:rsid w:val="7EC565EC"/>
    <w:rsid w:val="7EC979E4"/>
    <w:rsid w:val="7ECF2FC7"/>
    <w:rsid w:val="7EDC7492"/>
    <w:rsid w:val="7EF51050"/>
    <w:rsid w:val="7EF7251E"/>
    <w:rsid w:val="7F1430D0"/>
    <w:rsid w:val="7F147B2C"/>
    <w:rsid w:val="7F183182"/>
    <w:rsid w:val="7F196938"/>
    <w:rsid w:val="7F211C6F"/>
    <w:rsid w:val="7F2A5714"/>
    <w:rsid w:val="7F313C82"/>
    <w:rsid w:val="7F343772"/>
    <w:rsid w:val="7F3713D0"/>
    <w:rsid w:val="7F405C73"/>
    <w:rsid w:val="7F542E14"/>
    <w:rsid w:val="7F590AE3"/>
    <w:rsid w:val="7F596D35"/>
    <w:rsid w:val="7F6264B5"/>
    <w:rsid w:val="7F631975"/>
    <w:rsid w:val="7F677902"/>
    <w:rsid w:val="7F853FCE"/>
    <w:rsid w:val="7F86727B"/>
    <w:rsid w:val="7FA135F0"/>
    <w:rsid w:val="7FAE2F34"/>
    <w:rsid w:val="7FB1091F"/>
    <w:rsid w:val="7FCA378E"/>
    <w:rsid w:val="7FD412F3"/>
    <w:rsid w:val="7FD665D7"/>
    <w:rsid w:val="7FE707E4"/>
    <w:rsid w:val="7FF22B3C"/>
    <w:rsid w:val="7FF70DA6"/>
    <w:rsid w:val="7FFF07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autoRedefine/>
    <w:unhideWhenUsed/>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autoRedefine/>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autoRedefine/>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autoRedefine/>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character" w:default="1" w:styleId="13">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8">
    <w:name w:val="footer"/>
    <w:basedOn w:val="1"/>
    <w:link w:val="15"/>
    <w:autoRedefine/>
    <w:qFormat/>
    <w:uiPriority w:val="0"/>
    <w:pPr>
      <w:tabs>
        <w:tab w:val="center" w:pos="4153"/>
        <w:tab w:val="right" w:pos="8306"/>
      </w:tabs>
      <w:snapToGrid w:val="0"/>
      <w:jc w:val="left"/>
    </w:pPr>
    <w:rPr>
      <w:sz w:val="18"/>
      <w:szCs w:val="18"/>
    </w:rPr>
  </w:style>
  <w:style w:type="paragraph" w:styleId="9">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autoRedefine/>
    <w:unhideWhenUsed/>
    <w:qFormat/>
    <w:uiPriority w:val="99"/>
    <w:rPr>
      <w:color w:val="0000FF" w:themeColor="hyperlink"/>
      <w:u w:val="single"/>
      <w14:textFill>
        <w14:solidFill>
          <w14:schemeClr w14:val="hlink"/>
        </w14:solidFill>
      </w14:textFill>
    </w:rPr>
  </w:style>
  <w:style w:type="character" w:customStyle="1" w:styleId="15">
    <w:name w:val="页脚 字符"/>
    <w:link w:val="8"/>
    <w:autoRedefine/>
    <w:qFormat/>
    <w:uiPriority w:val="0"/>
    <w:rPr>
      <w:rFonts w:ascii="Calibri" w:hAnsi="Calibri" w:eastAsia="宋体" w:cs="Times New Roman"/>
      <w:kern w:val="2"/>
      <w:sz w:val="18"/>
      <w:szCs w:val="18"/>
    </w:rPr>
  </w:style>
  <w:style w:type="character" w:customStyle="1" w:styleId="16">
    <w:name w:val="页眉 字符"/>
    <w:link w:val="9"/>
    <w:autoRedefine/>
    <w:qFormat/>
    <w:uiPriority w:val="0"/>
    <w:rPr>
      <w:rFonts w:ascii="Calibri" w:hAnsi="Calibri" w:eastAsia="宋体" w:cs="Times New Roman"/>
      <w:kern w:val="2"/>
      <w:sz w:val="18"/>
      <w:szCs w:val="18"/>
    </w:rPr>
  </w:style>
  <w:style w:type="character" w:customStyle="1" w:styleId="17">
    <w:name w:val="_Style 8"/>
    <w:autoRedefine/>
    <w:qFormat/>
    <w:uiPriority w:val="31"/>
    <w:rPr>
      <w:smallCaps/>
      <w:color w:val="5A5A5A"/>
    </w:rPr>
  </w:style>
  <w:style w:type="paragraph" w:customStyle="1" w:styleId="18">
    <w:name w:val="Table Paragraph"/>
    <w:basedOn w:val="1"/>
    <w:autoRedefine/>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179</Words>
  <Characters>529</Characters>
  <Lines>82</Lines>
  <Paragraphs>23</Paragraphs>
  <TotalTime>42</TotalTime>
  <ScaleCrop>false</ScaleCrop>
  <LinksUpToDate>false</LinksUpToDate>
  <CharactersWithSpaces>596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2023-01-29T10:12:00Z</dcterms:created>
  <dc:creator>Administrator</dc:creator>
  <cp:lastModifiedBy>妍妍</cp:lastModifiedBy>
  <cp:lastPrinted>2018-02-09T07:39:00Z</cp:lastPrinted>
  <dcterms:modified xsi:type="dcterms:W3CDTF">2025-04-30T10:17:12Z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944CF08DACEB4F75A1296D7BB90957FB_13</vt:lpwstr>
  </property>
  <property fmtid="{D5CDD505-2E9C-101B-9397-08002B2CF9AE}" pid="4" name="KSOTemplateDocerSaveRecord">
    <vt:lpwstr>eyJoZGlkIjoiMzU2NmI3MjI5ZGZjYTI3ZTc5NWJkNTU5NmI5MDIzZjgiLCJ1c2VySWQiOiI5ODMzMjAxOTAifQ==</vt:lpwstr>
  </property>
</Properties>
</file>